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widowControl/>
        <w:numPr>
          <w:ilvl w:val="0"/>
          <w:numId w:val="0"/>
        </w:numPr>
        <w:spacing w:before="100" w:beforeAutospacing="1" w:after="100" w:afterAutospacing="1" w:line="360" w:lineRule="auto"/>
        <w:jc w:val="center"/>
        <w:rPr>
          <w:rFonts w:ascii="宋体" w:hAnsi="宋体" w:eastAsia="宋体" w:cs="宋体"/>
          <w:b/>
          <w:bCs/>
          <w:kern w:val="0"/>
          <w:szCs w:val="21"/>
        </w:rPr>
      </w:pPr>
      <w:r>
        <w:rPr>
          <w:rFonts w:hint="eastAsia" w:ascii="宋体" w:hAnsi="宋体" w:eastAsia="宋体" w:cs="宋体"/>
          <w:b/>
          <w:bCs/>
          <w:kern w:val="0"/>
          <w:szCs w:val="21"/>
          <w:lang w:eastAsia="zh-CN"/>
        </w:rPr>
        <w:t>包</w:t>
      </w:r>
      <w:r>
        <w:rPr>
          <w:rFonts w:hint="eastAsia" w:ascii="宋体" w:hAnsi="宋体" w:eastAsia="宋体" w:cs="宋体"/>
          <w:b/>
          <w:bCs/>
          <w:kern w:val="0"/>
          <w:szCs w:val="21"/>
          <w:lang w:val="en-US" w:eastAsia="zh-CN"/>
        </w:rPr>
        <w:t>2</w:t>
      </w:r>
      <w:r>
        <w:rPr>
          <w:rFonts w:ascii="宋体" w:hAnsi="宋体" w:eastAsia="宋体" w:cs="宋体"/>
          <w:b/>
          <w:bCs/>
          <w:kern w:val="0"/>
          <w:szCs w:val="21"/>
        </w:rPr>
        <w:t>询价内容</w:t>
      </w:r>
      <w:r>
        <w:rPr>
          <w:rFonts w:hint="eastAsia" w:ascii="宋体" w:hAnsi="宋体" w:eastAsia="宋体" w:cs="宋体"/>
          <w:b/>
          <w:bCs/>
          <w:kern w:val="0"/>
          <w:szCs w:val="21"/>
        </w:rPr>
        <w:t>及</w:t>
      </w:r>
      <w:r>
        <w:rPr>
          <w:rFonts w:ascii="宋体" w:hAnsi="宋体" w:eastAsia="宋体" w:cs="宋体"/>
          <w:b/>
          <w:bCs/>
          <w:kern w:val="0"/>
          <w:szCs w:val="21"/>
        </w:rPr>
        <w:t>要求</w:t>
      </w:r>
      <w:r>
        <w:rPr>
          <w:rFonts w:hint="eastAsia"/>
          <w:b/>
          <w:bCs/>
          <w:szCs w:val="21"/>
        </w:rPr>
        <w:t>（以下内容不允许负偏离）</w:t>
      </w:r>
    </w:p>
    <w:tbl>
      <w:tblPr>
        <w:tblStyle w:val="8"/>
        <w:tblW w:w="15875" w:type="dxa"/>
        <w:jc w:val="center"/>
        <w:tblInd w:w="-21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4"/>
        <w:gridCol w:w="1604"/>
        <w:gridCol w:w="11192"/>
        <w:gridCol w:w="795"/>
        <w:gridCol w:w="15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784" w:type="dxa"/>
            <w:vAlign w:val="center"/>
          </w:tcPr>
          <w:p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序号</w:t>
            </w:r>
          </w:p>
        </w:tc>
        <w:tc>
          <w:tcPr>
            <w:tcW w:w="1604" w:type="dxa"/>
            <w:vAlign w:val="center"/>
          </w:tcPr>
          <w:p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采购项目名称</w:t>
            </w:r>
          </w:p>
        </w:tc>
        <w:tc>
          <w:tcPr>
            <w:tcW w:w="11192" w:type="dxa"/>
            <w:vAlign w:val="center"/>
          </w:tcPr>
          <w:p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主要技术参数</w:t>
            </w:r>
          </w:p>
        </w:tc>
        <w:tc>
          <w:tcPr>
            <w:tcW w:w="795" w:type="dxa"/>
            <w:vAlign w:val="center"/>
          </w:tcPr>
          <w:p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数量</w:t>
            </w:r>
          </w:p>
        </w:tc>
        <w:tc>
          <w:tcPr>
            <w:tcW w:w="1500" w:type="dxa"/>
            <w:vAlign w:val="center"/>
          </w:tcPr>
          <w:p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  <w:lang w:eastAsia="zh-CN"/>
              </w:rPr>
              <w:t>采购控制价</w:t>
            </w:r>
          </w:p>
          <w:p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（元</w:t>
            </w:r>
            <w:r>
              <w:rPr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5" w:hRule="atLeast"/>
          <w:jc w:val="center"/>
        </w:trPr>
        <w:tc>
          <w:tcPr>
            <w:tcW w:w="784" w:type="dxa"/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1</w:t>
            </w:r>
          </w:p>
        </w:tc>
        <w:tc>
          <w:tcPr>
            <w:tcW w:w="1604" w:type="dxa"/>
            <w:shd w:val="clear" w:color="auto" w:fill="FFFFFF"/>
            <w:vAlign w:val="center"/>
          </w:tcPr>
          <w:p>
            <w:pPr>
              <w:spacing w:line="240" w:lineRule="exact"/>
              <w:jc w:val="left"/>
              <w:rPr>
                <w:rFonts w:hint="eastAsia" w:eastAsiaTheme="minorEastAsia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资助宣传片</w:t>
            </w:r>
          </w:p>
        </w:tc>
        <w:tc>
          <w:tcPr>
            <w:tcW w:w="11192" w:type="dxa"/>
            <w:vAlign w:val="center"/>
          </w:tcPr>
          <w:p>
            <w:pPr>
              <w:spacing w:line="240" w:lineRule="exac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  <w:p>
            <w:pPr>
              <w:spacing w:line="240" w:lineRule="exact"/>
              <w:ind w:left="1200" w:hanging="1200" w:hangingChars="50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目的：向广大学生和家长宣介学生资助政策，普及金融知识，</w:t>
            </w:r>
          </w:p>
          <w:p>
            <w:pPr>
              <w:spacing w:line="240" w:lineRule="exact"/>
              <w:ind w:left="1198" w:leftChars="342" w:hanging="480" w:hangingChars="200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宣传励志人物，开展诚信感恩教育。</w:t>
            </w:r>
          </w:p>
          <w:p>
            <w:pPr>
              <w:spacing w:line="240" w:lineRule="exact"/>
              <w:ind w:left="720" w:hanging="720" w:hangingChars="30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要求：可放在学院校园网上滚动播放，片长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10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分钟，沿用学生喜闻乐见的卡通动画，包括国家及学院资助政策宣介、助学贷款申请及续贷、还款指南与违约后果、防骗金融知识、励志人物故事等部分。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</w:p>
          <w:p>
            <w:pPr>
              <w:spacing w:line="240" w:lineRule="exact"/>
              <w:ind w:left="718" w:leftChars="342"/>
              <w:rPr>
                <w:rFonts w:hint="eastAsia" w:ascii="宋体" w:hAnsi="宋体" w:cs="宋体" w:eastAsiaTheme="minorEastAsia"/>
                <w:bCs/>
                <w:kern w:val="36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为了方便在不同的使用环境播放宣传片，要求两个不同清晰度的版本，可直接微信播放，可放在百度网盘上下载。</w:t>
            </w:r>
          </w:p>
        </w:tc>
        <w:tc>
          <w:tcPr>
            <w:tcW w:w="795" w:type="dxa"/>
            <w:vAlign w:val="center"/>
          </w:tcPr>
          <w:p>
            <w:pPr>
              <w:spacing w:line="240" w:lineRule="atLeast"/>
              <w:jc w:val="left"/>
              <w:rPr>
                <w:rFonts w:hint="eastAsia" w:ascii="宋体" w:hAnsi="宋体" w:cs="宋体"/>
                <w:bCs/>
                <w:kern w:val="36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36"/>
                <w:szCs w:val="21"/>
                <w:lang w:val="en-US" w:eastAsia="zh-CN"/>
              </w:rPr>
              <w:t>1</w:t>
            </w:r>
          </w:p>
        </w:tc>
        <w:tc>
          <w:tcPr>
            <w:tcW w:w="1500" w:type="dxa"/>
            <w:vAlign w:val="center"/>
          </w:tcPr>
          <w:p>
            <w:pPr>
              <w:spacing w:line="240" w:lineRule="atLeast"/>
              <w:jc w:val="left"/>
              <w:rPr>
                <w:rFonts w:hint="eastAsia" w:ascii="宋体" w:hAnsi="宋体" w:cs="宋体"/>
                <w:bCs/>
                <w:kern w:val="36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36"/>
                <w:szCs w:val="21"/>
                <w:lang w:val="en-US" w:eastAsia="zh-CN"/>
              </w:rPr>
              <w:t>45000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jc w:val="center"/>
        </w:trPr>
        <w:tc>
          <w:tcPr>
            <w:tcW w:w="784" w:type="dxa"/>
            <w:shd w:val="clear" w:color="auto" w:fill="auto"/>
          </w:tcPr>
          <w:p>
            <w:pPr>
              <w:spacing w:line="240" w:lineRule="atLeast"/>
              <w:jc w:val="center"/>
              <w:rPr>
                <w:rFonts w:hint="eastAsia" w:eastAsiaTheme="minorEastAsia"/>
                <w:szCs w:val="24"/>
                <w:lang w:eastAsia="zh-CN"/>
              </w:rPr>
            </w:pPr>
          </w:p>
        </w:tc>
        <w:tc>
          <w:tcPr>
            <w:tcW w:w="1604" w:type="dxa"/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left"/>
              <w:textAlignment w:val="center"/>
              <w:rPr>
                <w:rFonts w:hint="eastAsia" w:eastAsiaTheme="minorEastAsia"/>
                <w:szCs w:val="24"/>
                <w:lang w:eastAsia="zh-CN"/>
              </w:rPr>
            </w:pPr>
          </w:p>
        </w:tc>
        <w:tc>
          <w:tcPr>
            <w:tcW w:w="11192" w:type="dxa"/>
          </w:tcPr>
          <w:p>
            <w:pPr>
              <w:spacing w:line="240" w:lineRule="atLeast"/>
              <w:jc w:val="left"/>
              <w:rPr>
                <w:rFonts w:hint="eastAsia" w:ascii="宋体" w:hAnsi="宋体" w:cs="宋体"/>
                <w:bCs/>
                <w:kern w:val="36"/>
                <w:szCs w:val="21"/>
              </w:rPr>
            </w:pPr>
          </w:p>
        </w:tc>
        <w:tc>
          <w:tcPr>
            <w:tcW w:w="795" w:type="dxa"/>
          </w:tcPr>
          <w:p>
            <w:pPr>
              <w:spacing w:line="240" w:lineRule="atLeast"/>
              <w:jc w:val="left"/>
              <w:rPr>
                <w:rFonts w:hint="eastAsia" w:ascii="宋体" w:hAnsi="宋体" w:cs="宋体"/>
                <w:bCs/>
                <w:kern w:val="36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kern w:val="36"/>
                <w:szCs w:val="21"/>
                <w:lang w:eastAsia="zh-CN"/>
              </w:rPr>
              <w:t>合计</w:t>
            </w:r>
          </w:p>
        </w:tc>
        <w:tc>
          <w:tcPr>
            <w:tcW w:w="1500" w:type="dxa"/>
          </w:tcPr>
          <w:p>
            <w:pPr>
              <w:spacing w:line="240" w:lineRule="atLeast"/>
              <w:jc w:val="left"/>
              <w:rPr>
                <w:rFonts w:hint="eastAsia" w:ascii="宋体" w:hAnsi="宋体" w:cs="宋体"/>
                <w:bCs/>
                <w:kern w:val="36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36"/>
                <w:szCs w:val="21"/>
                <w:lang w:val="en-US" w:eastAsia="zh-CN"/>
              </w:rPr>
              <w:t>45000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  <w:lang w:eastAsia="zh-CN"/>
        </w:rPr>
        <w:t>二</w:t>
      </w:r>
      <w:r>
        <w:rPr>
          <w:rFonts w:hint="eastAsia"/>
          <w:b/>
          <w:bCs/>
          <w:szCs w:val="21"/>
        </w:rPr>
        <w:t>、售后服务及其他要求（以下内容不允许负偏离）：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  <w:lang w:eastAsia="zh-CN"/>
        </w:rPr>
        <w:t>.</w:t>
      </w:r>
      <w:r>
        <w:rPr>
          <w:rFonts w:hint="eastAsia"/>
          <w:szCs w:val="21"/>
        </w:rPr>
        <w:t>交付地点：福建卫生职业技术学院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  <w:lang w:eastAsia="zh-CN"/>
        </w:rPr>
        <w:t>.</w:t>
      </w:r>
      <w:r>
        <w:rPr>
          <w:rFonts w:hint="eastAsia"/>
          <w:szCs w:val="21"/>
        </w:rPr>
        <w:t>交付时间：</w:t>
      </w:r>
      <w:r>
        <w:rPr>
          <w:rFonts w:hint="eastAsia"/>
          <w:szCs w:val="21"/>
          <w:lang w:eastAsia="zh-CN"/>
        </w:rPr>
        <w:t>合同签订之日起</w:t>
      </w:r>
      <w:r>
        <w:rPr>
          <w:rFonts w:hint="eastAsia"/>
          <w:szCs w:val="21"/>
          <w:lang w:val="en-US" w:eastAsia="zh-CN"/>
        </w:rPr>
        <w:t>15</w:t>
      </w:r>
      <w:r>
        <w:rPr>
          <w:rFonts w:hint="eastAsia"/>
          <w:szCs w:val="21"/>
          <w:lang w:eastAsia="zh-CN"/>
        </w:rPr>
        <w:t>个日历日</w:t>
      </w:r>
      <w:r>
        <w:rPr>
          <w:rFonts w:hint="eastAsia"/>
          <w:szCs w:val="21"/>
        </w:rPr>
        <w:t>内交货安装完毕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3</w:t>
      </w:r>
      <w:r>
        <w:rPr>
          <w:rFonts w:hint="eastAsia"/>
          <w:szCs w:val="21"/>
          <w:lang w:eastAsia="zh-CN"/>
        </w:rPr>
        <w:t>.</w:t>
      </w:r>
      <w:r>
        <w:rPr>
          <w:rFonts w:hint="eastAsia"/>
          <w:szCs w:val="21"/>
        </w:rPr>
        <w:t>售后服务：政策有发生变化时帮忙修改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4</w:t>
      </w:r>
      <w:r>
        <w:rPr>
          <w:rFonts w:hint="eastAsia"/>
          <w:szCs w:val="21"/>
        </w:rPr>
        <w:t>验收标准：1：素材的运用到位2：修改内容严格按照采购人进行修改3：字体工整明晰，字幕与语音对上，背景音无杂乱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1260" w:firstLineChars="600"/>
        <w:jc w:val="left"/>
        <w:textAlignment w:val="auto"/>
        <w:outlineLvl w:val="9"/>
        <w:rPr>
          <w:rFonts w:hint="eastAsia"/>
          <w:szCs w:val="21"/>
        </w:rPr>
      </w:pPr>
      <w:r>
        <w:rPr>
          <w:rFonts w:hint="eastAsia"/>
          <w:szCs w:val="21"/>
        </w:rPr>
        <w:t xml:space="preserve">4：片长达到10分钟5：提供标清版（mpg）视频格式数据一份6：视频整体无乱码，无错版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  <w:lang w:eastAsia="zh-CN"/>
        </w:rPr>
        <w:t>三</w:t>
      </w:r>
      <w:r>
        <w:rPr>
          <w:rFonts w:hint="eastAsia"/>
          <w:b/>
          <w:bCs/>
          <w:szCs w:val="21"/>
        </w:rPr>
        <w:t>、付款方式：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Cs w:val="21"/>
        </w:rPr>
      </w:pPr>
      <w:r>
        <w:rPr>
          <w:rFonts w:hint="eastAsia"/>
          <w:szCs w:val="21"/>
        </w:rPr>
        <w:t>验收合格后</w:t>
      </w:r>
      <w:r>
        <w:rPr>
          <w:rFonts w:hint="eastAsia"/>
          <w:szCs w:val="21"/>
          <w:lang w:eastAsia="zh-CN"/>
        </w:rPr>
        <w:t>中标方向我院提供</w:t>
      </w:r>
      <w:r>
        <w:rPr>
          <w:rFonts w:hint="eastAsia"/>
          <w:szCs w:val="21"/>
          <w:lang w:val="en-US" w:eastAsia="zh-CN"/>
        </w:rPr>
        <w:t>100%的货款正规含税发票，学院支付100</w:t>
      </w:r>
      <w:r>
        <w:rPr>
          <w:rFonts w:hint="eastAsia"/>
          <w:szCs w:val="21"/>
        </w:rPr>
        <w:t>%的</w:t>
      </w:r>
      <w:r>
        <w:rPr>
          <w:rFonts w:hint="eastAsia"/>
          <w:szCs w:val="21"/>
          <w:lang w:eastAsia="zh-CN"/>
        </w:rPr>
        <w:t>合同</w:t>
      </w:r>
      <w:r>
        <w:rPr>
          <w:rFonts w:hint="eastAsia"/>
          <w:szCs w:val="21"/>
        </w:rPr>
        <w:t>款</w:t>
      </w:r>
      <w:r>
        <w:rPr>
          <w:rFonts w:hint="eastAsia"/>
          <w:szCs w:val="21"/>
          <w:lang w:eastAsia="zh-CN"/>
        </w:rPr>
        <w:t>。</w:t>
      </w:r>
    </w:p>
    <w:p>
      <w:pPr>
        <w:adjustRightInd w:val="0"/>
        <w:snapToGrid w:val="0"/>
        <w:spacing w:line="300" w:lineRule="auto"/>
        <w:jc w:val="center"/>
        <w:outlineLvl w:val="0"/>
        <w:rPr>
          <w:rFonts w:hint="eastAsia"/>
          <w:b/>
          <w:bCs/>
          <w:color w:val="auto"/>
          <w:sz w:val="28"/>
          <w:szCs w:val="28"/>
        </w:rPr>
      </w:pPr>
    </w:p>
    <w:p>
      <w:pPr>
        <w:adjustRightInd w:val="0"/>
        <w:snapToGrid w:val="0"/>
        <w:spacing w:line="300" w:lineRule="auto"/>
        <w:jc w:val="center"/>
        <w:outlineLvl w:val="0"/>
        <w:rPr>
          <w:rFonts w:hint="eastAsia"/>
          <w:b/>
          <w:bCs/>
          <w:color w:val="auto"/>
          <w:sz w:val="28"/>
          <w:szCs w:val="28"/>
        </w:rPr>
      </w:pPr>
    </w:p>
    <w:p>
      <w:pPr>
        <w:adjustRightInd w:val="0"/>
        <w:snapToGrid w:val="0"/>
        <w:spacing w:line="300" w:lineRule="auto"/>
        <w:jc w:val="center"/>
        <w:outlineLvl w:val="0"/>
        <w:rPr>
          <w:rFonts w:hint="eastAsia"/>
          <w:b/>
          <w:bCs/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</w:rPr>
        <w:t>报价一览表</w:t>
      </w:r>
    </w:p>
    <w:p>
      <w:pPr>
        <w:widowControl/>
        <w:spacing w:before="180" w:line="345" w:lineRule="atLeast"/>
        <w:ind w:firstLine="1265" w:firstLineChars="600"/>
        <w:jc w:val="left"/>
        <w:rPr>
          <w:rFonts w:hint="eastAsia" w:ascii="宋体" w:hAnsi="宋体" w:eastAsia="宋体" w:cs="宋体"/>
          <w:b/>
          <w:bCs/>
          <w:color w:val="444444"/>
          <w:kern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color w:val="444444"/>
          <w:kern w:val="0"/>
          <w:sz w:val="21"/>
          <w:szCs w:val="21"/>
          <w:lang w:eastAsia="zh-CN"/>
        </w:rPr>
        <w:t>《报价一览表》填写须知</w:t>
      </w:r>
    </w:p>
    <w:p>
      <w:pPr>
        <w:widowControl/>
        <w:spacing w:before="180" w:line="345" w:lineRule="atLeast"/>
        <w:ind w:firstLine="1320" w:firstLineChars="626"/>
        <w:jc w:val="left"/>
        <w:rPr>
          <w:rFonts w:hint="eastAsia" w:ascii="宋体" w:hAnsi="宋体" w:eastAsia="宋体" w:cs="宋体"/>
          <w:b/>
          <w:bCs/>
          <w:color w:val="444444"/>
          <w:kern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color w:val="444444"/>
          <w:kern w:val="0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color w:val="444444"/>
          <w:kern w:val="0"/>
          <w:sz w:val="21"/>
          <w:szCs w:val="21"/>
          <w:lang w:eastAsia="zh-CN"/>
        </w:rPr>
        <w:t>《报价一览表》每一页均需加盖单位盖章。</w:t>
      </w:r>
    </w:p>
    <w:p>
      <w:pPr>
        <w:widowControl/>
        <w:spacing w:before="180" w:line="345" w:lineRule="atLeast"/>
        <w:ind w:firstLine="480"/>
        <w:jc w:val="left"/>
        <w:rPr>
          <w:rFonts w:hint="eastAsia" w:ascii="宋体" w:hAnsi="宋体" w:eastAsia="宋体" w:cs="宋体"/>
          <w:b/>
          <w:bCs/>
          <w:color w:val="444444"/>
          <w:kern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color w:val="444444"/>
          <w:kern w:val="0"/>
          <w:sz w:val="21"/>
          <w:szCs w:val="21"/>
          <w:lang w:val="en-US" w:eastAsia="zh-CN"/>
        </w:rPr>
        <w:t xml:space="preserve">        2.</w:t>
      </w:r>
      <w:r>
        <w:rPr>
          <w:rFonts w:hint="eastAsia" w:ascii="宋体" w:hAnsi="宋体" w:eastAsia="宋体" w:cs="宋体"/>
          <w:b/>
          <w:bCs/>
          <w:color w:val="444444"/>
          <w:kern w:val="0"/>
          <w:sz w:val="21"/>
          <w:szCs w:val="21"/>
          <w:lang w:eastAsia="zh-CN"/>
        </w:rPr>
        <w:t>《报价一览表》的报价为最终报价，不允许二次报价或对报价进行修改，询价项目中非设备类的可不填写品牌及型号。</w:t>
      </w:r>
    </w:p>
    <w:p>
      <w:pPr>
        <w:widowControl/>
        <w:spacing w:before="180" w:line="345" w:lineRule="atLeast"/>
        <w:ind w:left="784" w:leftChars="300" w:hanging="154" w:hangingChars="73"/>
        <w:jc w:val="left"/>
        <w:rPr>
          <w:rFonts w:hint="eastAsia" w:ascii="宋体" w:hAnsi="宋体" w:eastAsia="宋体" w:cs="宋体"/>
          <w:b/>
          <w:bCs/>
          <w:color w:val="444444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444444"/>
          <w:kern w:val="0"/>
          <w:sz w:val="21"/>
          <w:szCs w:val="21"/>
          <w:lang w:val="en-US" w:eastAsia="zh-CN"/>
        </w:rPr>
        <w:t xml:space="preserve">      3.《报价一览表》中各项报价不得高于预算金额，报价高于预算金额的均视为无效投标。</w:t>
      </w:r>
    </w:p>
    <w:p>
      <w:pPr>
        <w:widowControl/>
        <w:spacing w:before="180" w:line="345" w:lineRule="atLeast"/>
        <w:ind w:firstLine="1265" w:firstLineChars="600"/>
        <w:jc w:val="left"/>
        <w:rPr>
          <w:rFonts w:hint="eastAsia"/>
          <w:b/>
          <w:bCs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/>
        </w:rPr>
        <w:t>4.投标主要技术参数必须完全满足询价项目主要技术参数，不允许出现负偏离，负偏离视为无效投标，投标主要技术参数字数较多可提供附件。</w:t>
      </w:r>
    </w:p>
    <w:tbl>
      <w:tblPr>
        <w:tblStyle w:val="8"/>
        <w:tblpPr w:leftFromText="180" w:rightFromText="180" w:vertAnchor="text" w:horzAnchor="page" w:tblpX="1071" w:tblpY="246"/>
        <w:tblOverlap w:val="never"/>
        <w:tblW w:w="150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0"/>
        <w:gridCol w:w="1362"/>
        <w:gridCol w:w="5553"/>
        <w:gridCol w:w="772"/>
        <w:gridCol w:w="878"/>
        <w:gridCol w:w="1260"/>
        <w:gridCol w:w="1725"/>
        <w:gridCol w:w="765"/>
        <w:gridCol w:w="1342"/>
        <w:gridCol w:w="8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0" w:type="dxa"/>
            <w:vAlign w:val="center"/>
          </w:tcPr>
          <w:p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序号</w:t>
            </w:r>
          </w:p>
        </w:tc>
        <w:tc>
          <w:tcPr>
            <w:tcW w:w="1362" w:type="dxa"/>
            <w:vAlign w:val="center"/>
          </w:tcPr>
          <w:p>
            <w:pPr>
              <w:spacing w:line="240" w:lineRule="atLeast"/>
              <w:jc w:val="center"/>
              <w:rPr>
                <w:rFonts w:hint="eastAsia" w:eastAsiaTheme="minorEastAsia"/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询价项目名称</w:t>
            </w:r>
          </w:p>
        </w:tc>
        <w:tc>
          <w:tcPr>
            <w:tcW w:w="5553" w:type="dxa"/>
            <w:vAlign w:val="center"/>
          </w:tcPr>
          <w:p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  <w:lang w:eastAsia="zh-CN"/>
              </w:rPr>
              <w:t>询价项目</w:t>
            </w:r>
            <w:r>
              <w:rPr>
                <w:rFonts w:hint="eastAsia"/>
                <w:szCs w:val="24"/>
              </w:rPr>
              <w:t>主要技术参数</w:t>
            </w:r>
          </w:p>
        </w:tc>
        <w:tc>
          <w:tcPr>
            <w:tcW w:w="772" w:type="dxa"/>
            <w:vAlign w:val="center"/>
          </w:tcPr>
          <w:p>
            <w:pPr>
              <w:spacing w:line="240" w:lineRule="atLeast"/>
              <w:jc w:val="center"/>
              <w:rPr>
                <w:rFonts w:hint="eastAsia" w:eastAsiaTheme="minorEastAsia"/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投标品牌</w:t>
            </w:r>
          </w:p>
        </w:tc>
        <w:tc>
          <w:tcPr>
            <w:tcW w:w="878" w:type="dxa"/>
            <w:vAlign w:val="center"/>
          </w:tcPr>
          <w:p>
            <w:pPr>
              <w:spacing w:line="240" w:lineRule="atLeast"/>
              <w:jc w:val="center"/>
              <w:rPr>
                <w:rFonts w:hint="eastAsia" w:eastAsiaTheme="minorEastAsia"/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投标型号</w:t>
            </w:r>
          </w:p>
        </w:tc>
        <w:tc>
          <w:tcPr>
            <w:tcW w:w="1260" w:type="dxa"/>
            <w:vAlign w:val="center"/>
          </w:tcPr>
          <w:p>
            <w:pPr>
              <w:spacing w:line="240" w:lineRule="atLeast"/>
              <w:jc w:val="center"/>
              <w:rPr>
                <w:rFonts w:hint="eastAsia" w:eastAsiaTheme="minorEastAsia"/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投标主要技术参数</w:t>
            </w:r>
          </w:p>
        </w:tc>
        <w:tc>
          <w:tcPr>
            <w:tcW w:w="1725" w:type="dxa"/>
            <w:vAlign w:val="center"/>
          </w:tcPr>
          <w:p>
            <w:pPr>
              <w:spacing w:line="240" w:lineRule="atLeast"/>
              <w:jc w:val="center"/>
              <w:rPr>
                <w:rFonts w:hint="eastAsia" w:eastAsiaTheme="minorEastAsia"/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技术参数响应（正偏离、无偏离、负偏离）</w:t>
            </w:r>
          </w:p>
        </w:tc>
        <w:tc>
          <w:tcPr>
            <w:tcW w:w="765" w:type="dxa"/>
            <w:vAlign w:val="center"/>
          </w:tcPr>
          <w:p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数量</w:t>
            </w:r>
          </w:p>
        </w:tc>
        <w:tc>
          <w:tcPr>
            <w:tcW w:w="1342" w:type="dxa"/>
            <w:vAlign w:val="center"/>
          </w:tcPr>
          <w:p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  <w:lang w:eastAsia="zh-CN"/>
              </w:rPr>
              <w:t>采购控制价</w:t>
            </w:r>
          </w:p>
          <w:p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（元</w:t>
            </w:r>
            <w:r>
              <w:rPr>
                <w:szCs w:val="24"/>
              </w:rPr>
              <w:t>）</w:t>
            </w:r>
          </w:p>
        </w:tc>
        <w:tc>
          <w:tcPr>
            <w:tcW w:w="863" w:type="dxa"/>
            <w:vAlign w:val="center"/>
          </w:tcPr>
          <w:p>
            <w:pPr>
              <w:spacing w:line="240" w:lineRule="atLeast"/>
              <w:jc w:val="center"/>
              <w:rPr>
                <w:rFonts w:hint="eastAsia" w:eastAsiaTheme="minorEastAsia"/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报价（元）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6" w:hRule="atLeast"/>
        </w:trPr>
        <w:tc>
          <w:tcPr>
            <w:tcW w:w="490" w:type="dxa"/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1</w:t>
            </w:r>
          </w:p>
        </w:tc>
        <w:tc>
          <w:tcPr>
            <w:tcW w:w="1362" w:type="dxa"/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left"/>
              <w:textAlignment w:val="center"/>
              <w:rPr>
                <w:szCs w:val="24"/>
              </w:rPr>
            </w:pPr>
            <w:r>
              <w:rPr>
                <w:rFonts w:hint="eastAsia"/>
                <w:sz w:val="22"/>
                <w:lang w:eastAsia="zh-CN"/>
              </w:rPr>
              <w:t>录课系统</w:t>
            </w:r>
          </w:p>
        </w:tc>
        <w:tc>
          <w:tcPr>
            <w:tcW w:w="5553" w:type="dxa"/>
            <w:vAlign w:val="top"/>
          </w:tcPr>
          <w:p>
            <w:pPr>
              <w:spacing w:line="240" w:lineRule="exact"/>
              <w:ind w:left="1200" w:hanging="1200" w:hangingChars="500"/>
              <w:jc w:val="both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目的：向广大学生和家长宣介学生资助政策，普及金融知识，宣传励志人物，开展诚信感恩教育。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要求：可放在学院校园网上滚动播放，片长10分钟，沿用学生喜闻乐见的卡通动画，包括国家及学院资助政策宣介、助学贷款申请及续贷、还款指南与违约后果、防骗金融知识、励志人物故事等部分。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为了方便在不同的使用环境播放宣传片，要求两个不同清晰度的版本，可直接微信播放，可放在百度网盘上下载。</w:t>
            </w:r>
          </w:p>
        </w:tc>
        <w:tc>
          <w:tcPr>
            <w:tcW w:w="772" w:type="dxa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878" w:type="dxa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1725" w:type="dxa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spacing w:line="240" w:lineRule="atLeast"/>
              <w:jc w:val="left"/>
              <w:rPr>
                <w:szCs w:val="24"/>
              </w:rPr>
            </w:pPr>
            <w:r>
              <w:rPr>
                <w:rFonts w:hint="eastAsia" w:ascii="宋体" w:hAnsi="宋体" w:cs="宋体"/>
                <w:bCs/>
                <w:kern w:val="36"/>
                <w:szCs w:val="21"/>
                <w:lang w:val="en-US" w:eastAsia="zh-CN"/>
              </w:rPr>
              <w:t>1</w:t>
            </w:r>
          </w:p>
        </w:tc>
        <w:tc>
          <w:tcPr>
            <w:tcW w:w="1342" w:type="dxa"/>
            <w:vAlign w:val="center"/>
          </w:tcPr>
          <w:p>
            <w:pPr>
              <w:spacing w:line="240" w:lineRule="atLeast"/>
              <w:jc w:val="left"/>
              <w:rPr>
                <w:szCs w:val="24"/>
              </w:rPr>
            </w:pPr>
            <w:r>
              <w:rPr>
                <w:rFonts w:hint="eastAsia" w:ascii="宋体" w:hAnsi="宋体" w:cs="宋体"/>
                <w:bCs/>
                <w:kern w:val="36"/>
                <w:szCs w:val="21"/>
                <w:lang w:val="en-US" w:eastAsia="zh-CN"/>
              </w:rPr>
              <w:t>45000</w:t>
            </w:r>
          </w:p>
        </w:tc>
        <w:tc>
          <w:tcPr>
            <w:tcW w:w="863" w:type="dxa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</w:trPr>
        <w:tc>
          <w:tcPr>
            <w:tcW w:w="490" w:type="dxa"/>
            <w:shd w:val="clear" w:color="auto" w:fill="auto"/>
          </w:tcPr>
          <w:p>
            <w:pPr>
              <w:spacing w:line="240" w:lineRule="atLeast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1362" w:type="dxa"/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售后服务及其他要求</w:t>
            </w:r>
          </w:p>
        </w:tc>
        <w:tc>
          <w:tcPr>
            <w:tcW w:w="555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  <w:lang w:eastAsia="zh-CN"/>
              </w:rPr>
              <w:t>.</w:t>
            </w:r>
            <w:r>
              <w:rPr>
                <w:rFonts w:hint="eastAsia"/>
                <w:sz w:val="18"/>
                <w:szCs w:val="18"/>
              </w:rPr>
              <w:t>交付地点：福建卫生职业技术学院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  <w:lang w:eastAsia="zh-CN"/>
              </w:rPr>
              <w:t>.</w:t>
            </w:r>
            <w:r>
              <w:rPr>
                <w:rFonts w:hint="eastAsia"/>
                <w:sz w:val="18"/>
                <w:szCs w:val="18"/>
              </w:rPr>
              <w:t>交付时间：</w:t>
            </w:r>
            <w:r>
              <w:rPr>
                <w:rFonts w:hint="eastAsia"/>
                <w:sz w:val="18"/>
                <w:szCs w:val="18"/>
                <w:lang w:eastAsia="zh-CN"/>
              </w:rPr>
              <w:t>合同签订之日起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/>
                <w:sz w:val="18"/>
                <w:szCs w:val="18"/>
                <w:lang w:eastAsia="zh-CN"/>
              </w:rPr>
              <w:t>个日历日</w:t>
            </w:r>
            <w:r>
              <w:rPr>
                <w:rFonts w:hint="eastAsia"/>
                <w:sz w:val="18"/>
                <w:szCs w:val="18"/>
              </w:rPr>
              <w:t>内交货安装完毕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sz w:val="18"/>
                <w:szCs w:val="18"/>
                <w:lang w:eastAsia="zh-CN"/>
              </w:rPr>
              <w:t>.</w:t>
            </w:r>
            <w:r>
              <w:rPr>
                <w:rFonts w:hint="eastAsia"/>
                <w:sz w:val="18"/>
                <w:szCs w:val="18"/>
              </w:rPr>
              <w:t>售后服务：政策有发生变化时帮忙修改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szCs w:val="21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/>
                <w:sz w:val="18"/>
                <w:szCs w:val="18"/>
              </w:rPr>
              <w:t xml:space="preserve">验收标准：1：素材的运用到位2：修改内容严格按照采购人进行修改3：字体工整明晰，字幕与语音对上，背景音无杂乱4：片长达到10分钟5：提供标清版（mpg）视频格式数据一份6：视频整体无乱码，无错版 </w:t>
            </w:r>
          </w:p>
        </w:tc>
        <w:tc>
          <w:tcPr>
            <w:tcW w:w="772" w:type="dxa"/>
          </w:tcPr>
          <w:p>
            <w:pPr>
              <w:spacing w:line="240" w:lineRule="atLeast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878" w:type="dxa"/>
          </w:tcPr>
          <w:p>
            <w:pPr>
              <w:spacing w:line="240" w:lineRule="atLeast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1260" w:type="dxa"/>
          </w:tcPr>
          <w:p>
            <w:pPr>
              <w:spacing w:line="240" w:lineRule="atLeast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1725" w:type="dxa"/>
          </w:tcPr>
          <w:p>
            <w:pPr>
              <w:spacing w:line="240" w:lineRule="atLeast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765" w:type="dxa"/>
          </w:tcPr>
          <w:p>
            <w:pPr>
              <w:spacing w:line="240" w:lineRule="atLeast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1342" w:type="dxa"/>
          </w:tcPr>
          <w:p>
            <w:pPr>
              <w:spacing w:line="240" w:lineRule="atLeast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863" w:type="dxa"/>
          </w:tcPr>
          <w:p>
            <w:pPr>
              <w:spacing w:line="240" w:lineRule="atLeast"/>
              <w:jc w:val="center"/>
              <w:rPr>
                <w:rFonts w:hint="eastAsia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</w:trPr>
        <w:tc>
          <w:tcPr>
            <w:tcW w:w="490" w:type="dxa"/>
            <w:shd w:val="clear" w:color="auto" w:fill="auto"/>
          </w:tcPr>
          <w:p>
            <w:pPr>
              <w:spacing w:line="240" w:lineRule="atLeast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1362" w:type="dxa"/>
            <w:shd w:val="clear" w:color="auto" w:fill="FFFFFF"/>
            <w:vAlign w:val="center"/>
          </w:tcPr>
          <w:p>
            <w:pPr>
              <w:widowControl/>
              <w:spacing w:line="240" w:lineRule="atLeast"/>
              <w:jc w:val="left"/>
              <w:textAlignment w:val="center"/>
              <w:rPr>
                <w:rFonts w:hint="eastAsia"/>
                <w:b/>
                <w:bCs/>
                <w:szCs w:val="21"/>
              </w:rPr>
            </w:pPr>
          </w:p>
        </w:tc>
        <w:tc>
          <w:tcPr>
            <w:tcW w:w="5553" w:type="dxa"/>
          </w:tcPr>
          <w:p>
            <w:pPr>
              <w:spacing w:line="240" w:lineRule="atLeast"/>
              <w:jc w:val="left"/>
              <w:rPr>
                <w:rFonts w:hint="eastAsia"/>
                <w:szCs w:val="21"/>
              </w:rPr>
            </w:pPr>
          </w:p>
        </w:tc>
        <w:tc>
          <w:tcPr>
            <w:tcW w:w="772" w:type="dxa"/>
          </w:tcPr>
          <w:p>
            <w:pPr>
              <w:spacing w:line="240" w:lineRule="atLeast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878" w:type="dxa"/>
          </w:tcPr>
          <w:p>
            <w:pPr>
              <w:spacing w:line="240" w:lineRule="atLeast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1260" w:type="dxa"/>
          </w:tcPr>
          <w:p>
            <w:pPr>
              <w:spacing w:line="240" w:lineRule="atLeast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1725" w:type="dxa"/>
          </w:tcPr>
          <w:p>
            <w:pPr>
              <w:spacing w:line="240" w:lineRule="atLeast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765" w:type="dxa"/>
          </w:tcPr>
          <w:p>
            <w:pPr>
              <w:spacing w:line="240" w:lineRule="atLeast"/>
              <w:jc w:val="center"/>
              <w:rPr>
                <w:rFonts w:hint="eastAsia" w:eastAsiaTheme="minorEastAsia"/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合计</w:t>
            </w:r>
          </w:p>
        </w:tc>
        <w:tc>
          <w:tcPr>
            <w:tcW w:w="1342" w:type="dxa"/>
          </w:tcPr>
          <w:p>
            <w:pPr>
              <w:spacing w:line="240" w:lineRule="atLeast"/>
              <w:jc w:val="center"/>
              <w:rPr>
                <w:rFonts w:hint="eastAsia" w:eastAsiaTheme="minorEastAsia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36"/>
                <w:szCs w:val="21"/>
                <w:lang w:val="en-US" w:eastAsia="zh-CN"/>
              </w:rPr>
              <w:t>45000</w:t>
            </w:r>
          </w:p>
        </w:tc>
        <w:tc>
          <w:tcPr>
            <w:tcW w:w="863" w:type="dxa"/>
          </w:tcPr>
          <w:p>
            <w:pPr>
              <w:spacing w:line="240" w:lineRule="atLeast"/>
              <w:jc w:val="center"/>
              <w:rPr>
                <w:rFonts w:hint="eastAsia"/>
                <w:szCs w:val="24"/>
              </w:rPr>
            </w:pPr>
          </w:p>
        </w:tc>
      </w:tr>
    </w:tbl>
    <w:p>
      <w:pPr>
        <w:adjustRightInd w:val="0"/>
        <w:snapToGrid w:val="0"/>
        <w:spacing w:line="300" w:lineRule="auto"/>
        <w:jc w:val="center"/>
        <w:outlineLvl w:val="0"/>
        <w:rPr>
          <w:rFonts w:hint="eastAsia"/>
          <w:b/>
          <w:bCs/>
          <w:color w:val="auto"/>
          <w:sz w:val="28"/>
          <w:szCs w:val="28"/>
        </w:rPr>
      </w:pPr>
    </w:p>
    <w:p>
      <w:pPr>
        <w:widowControl/>
        <w:spacing w:before="180" w:line="345" w:lineRule="atLeast"/>
        <w:ind w:firstLine="480"/>
        <w:jc w:val="left"/>
        <w:rPr>
          <w:rFonts w:hint="eastAsia"/>
          <w:szCs w:val="21"/>
        </w:rPr>
      </w:pPr>
      <w:bookmarkStart w:id="0" w:name="_GoBack"/>
      <w:bookmarkEnd w:id="0"/>
    </w:p>
    <w:sectPr>
      <w:pgSz w:w="16838" w:h="11906" w:orient="landscape"/>
      <w:pgMar w:top="1180" w:right="1440" w:bottom="106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Segoe UI Symbol">
    <w:altName w:val="Segoe UI"/>
    <w:panose1 w:val="020B0502040204020203"/>
    <w:charset w:val="00"/>
    <w:family w:val="swiss"/>
    <w:pitch w:val="default"/>
    <w:sig w:usb0="00000000" w:usb1="00000000" w:usb2="00040000" w:usb3="00000000" w:csb0="00000001" w:csb1="00000000"/>
  </w:font>
  <w:font w:name="Segoe UI">
    <w:panose1 w:val="020B0502040204020203"/>
    <w:charset w:val="00"/>
    <w:family w:val="auto"/>
    <w:pitch w:val="default"/>
    <w:sig w:usb0="E00022FF" w:usb1="C000205B" w:usb2="00000009" w:usb3="00000000" w:csb0="200001DF" w:csb1="2008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5D6"/>
    <w:rsid w:val="00050B4D"/>
    <w:rsid w:val="000672AB"/>
    <w:rsid w:val="00070EE6"/>
    <w:rsid w:val="00236C18"/>
    <w:rsid w:val="002456EF"/>
    <w:rsid w:val="003C5705"/>
    <w:rsid w:val="00451689"/>
    <w:rsid w:val="00465854"/>
    <w:rsid w:val="005F17EA"/>
    <w:rsid w:val="008B40A1"/>
    <w:rsid w:val="008F5147"/>
    <w:rsid w:val="009E66ED"/>
    <w:rsid w:val="00A21E0E"/>
    <w:rsid w:val="00A26227"/>
    <w:rsid w:val="00C5584D"/>
    <w:rsid w:val="00C70D2A"/>
    <w:rsid w:val="00C95B24"/>
    <w:rsid w:val="00CE008F"/>
    <w:rsid w:val="00DE79A4"/>
    <w:rsid w:val="00EA01C6"/>
    <w:rsid w:val="00F715D6"/>
    <w:rsid w:val="00FF29A6"/>
    <w:rsid w:val="02043FCF"/>
    <w:rsid w:val="024E258E"/>
    <w:rsid w:val="02CE3CE3"/>
    <w:rsid w:val="03837B83"/>
    <w:rsid w:val="03BE128D"/>
    <w:rsid w:val="04686E69"/>
    <w:rsid w:val="048A3EFA"/>
    <w:rsid w:val="0BEC35F6"/>
    <w:rsid w:val="0BF875A1"/>
    <w:rsid w:val="0C3A749E"/>
    <w:rsid w:val="0C4C7F8B"/>
    <w:rsid w:val="0E537B47"/>
    <w:rsid w:val="0FF06B03"/>
    <w:rsid w:val="112C7FDD"/>
    <w:rsid w:val="11A46471"/>
    <w:rsid w:val="152A635B"/>
    <w:rsid w:val="15583548"/>
    <w:rsid w:val="166A47DF"/>
    <w:rsid w:val="16AD613F"/>
    <w:rsid w:val="180145C5"/>
    <w:rsid w:val="197628A4"/>
    <w:rsid w:val="19F33F76"/>
    <w:rsid w:val="1A347C37"/>
    <w:rsid w:val="1D293B6D"/>
    <w:rsid w:val="1E161604"/>
    <w:rsid w:val="1EC9096B"/>
    <w:rsid w:val="1FA723C2"/>
    <w:rsid w:val="212360FB"/>
    <w:rsid w:val="21F541B0"/>
    <w:rsid w:val="244C6003"/>
    <w:rsid w:val="24BF37EC"/>
    <w:rsid w:val="26D14F47"/>
    <w:rsid w:val="277213F8"/>
    <w:rsid w:val="288621D9"/>
    <w:rsid w:val="28E8281A"/>
    <w:rsid w:val="29B328FB"/>
    <w:rsid w:val="29CB4FB8"/>
    <w:rsid w:val="29EC39E8"/>
    <w:rsid w:val="2A1A16EB"/>
    <w:rsid w:val="2C0815D1"/>
    <w:rsid w:val="2CA6202B"/>
    <w:rsid w:val="304C11C3"/>
    <w:rsid w:val="31BE2B2E"/>
    <w:rsid w:val="31F82ADC"/>
    <w:rsid w:val="325241F7"/>
    <w:rsid w:val="326C64B8"/>
    <w:rsid w:val="332D52AF"/>
    <w:rsid w:val="33806566"/>
    <w:rsid w:val="343A30A6"/>
    <w:rsid w:val="34FB094B"/>
    <w:rsid w:val="38274C0F"/>
    <w:rsid w:val="38393E34"/>
    <w:rsid w:val="3B822710"/>
    <w:rsid w:val="3DD36A73"/>
    <w:rsid w:val="3E134C87"/>
    <w:rsid w:val="3E6F1FA6"/>
    <w:rsid w:val="3F252173"/>
    <w:rsid w:val="40055BB0"/>
    <w:rsid w:val="41A03BB2"/>
    <w:rsid w:val="4500717D"/>
    <w:rsid w:val="462B6795"/>
    <w:rsid w:val="46EF0183"/>
    <w:rsid w:val="47173CC5"/>
    <w:rsid w:val="48D5715C"/>
    <w:rsid w:val="48F17334"/>
    <w:rsid w:val="494C0D39"/>
    <w:rsid w:val="49850959"/>
    <w:rsid w:val="4A2C00BC"/>
    <w:rsid w:val="4BC8308A"/>
    <w:rsid w:val="4BEF7875"/>
    <w:rsid w:val="4DB37839"/>
    <w:rsid w:val="4DC234EC"/>
    <w:rsid w:val="4FC56086"/>
    <w:rsid w:val="51C50B10"/>
    <w:rsid w:val="52E95B48"/>
    <w:rsid w:val="535C288C"/>
    <w:rsid w:val="53BF7E2B"/>
    <w:rsid w:val="54C34438"/>
    <w:rsid w:val="550347C5"/>
    <w:rsid w:val="55111B2A"/>
    <w:rsid w:val="55194A10"/>
    <w:rsid w:val="560E6E69"/>
    <w:rsid w:val="56756547"/>
    <w:rsid w:val="587777E3"/>
    <w:rsid w:val="58D273D4"/>
    <w:rsid w:val="5B873C80"/>
    <w:rsid w:val="5C3F10CD"/>
    <w:rsid w:val="5C5315AD"/>
    <w:rsid w:val="5D496B43"/>
    <w:rsid w:val="60451E2C"/>
    <w:rsid w:val="62CD0F8D"/>
    <w:rsid w:val="63B32525"/>
    <w:rsid w:val="63D42D01"/>
    <w:rsid w:val="6706137C"/>
    <w:rsid w:val="673208DA"/>
    <w:rsid w:val="67C57B88"/>
    <w:rsid w:val="68092A31"/>
    <w:rsid w:val="6983772C"/>
    <w:rsid w:val="69E927C6"/>
    <w:rsid w:val="6B160DE7"/>
    <w:rsid w:val="6CB42952"/>
    <w:rsid w:val="6CB44F64"/>
    <w:rsid w:val="6D191EB7"/>
    <w:rsid w:val="6FBA7697"/>
    <w:rsid w:val="71BB4F85"/>
    <w:rsid w:val="72D37BE8"/>
    <w:rsid w:val="730F411E"/>
    <w:rsid w:val="75514BEB"/>
    <w:rsid w:val="771604A2"/>
    <w:rsid w:val="772338A8"/>
    <w:rsid w:val="78CE38D6"/>
    <w:rsid w:val="7C0D0110"/>
    <w:rsid w:val="7CBA635E"/>
    <w:rsid w:val="7DD80B3F"/>
    <w:rsid w:val="7E32377D"/>
    <w:rsid w:val="7E972638"/>
    <w:rsid w:val="7EBD29D4"/>
    <w:rsid w:val="7EF226E7"/>
    <w:rsid w:val="7EFB4FD8"/>
    <w:rsid w:val="7F3D476D"/>
    <w:rsid w:val="7F92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FollowedHyperlink"/>
    <w:basedOn w:val="5"/>
    <w:unhideWhenUsed/>
    <w:qFormat/>
    <w:uiPriority w:val="99"/>
    <w:rPr>
      <w:color w:val="000000"/>
      <w:u w:val="none"/>
    </w:rPr>
  </w:style>
  <w:style w:type="character" w:styleId="7">
    <w:name w:val="Hyperlink"/>
    <w:basedOn w:val="5"/>
    <w:unhideWhenUsed/>
    <w:qFormat/>
    <w:uiPriority w:val="99"/>
    <w:rPr>
      <w:color w:val="000000"/>
      <w:u w:val="none"/>
    </w:rPr>
  </w:style>
  <w:style w:type="character" w:customStyle="1" w:styleId="9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2"/>
    <w:qFormat/>
    <w:uiPriority w:val="99"/>
    <w:rPr>
      <w:sz w:val="18"/>
      <w:szCs w:val="18"/>
    </w:rPr>
  </w:style>
  <w:style w:type="paragraph" w:customStyle="1" w:styleId="11">
    <w:name w:val="List Paragraph"/>
    <w:basedOn w:val="1"/>
    <w:qFormat/>
    <w:uiPriority w:val="34"/>
    <w:pPr>
      <w:ind w:firstLine="420" w:firstLineChars="200"/>
    </w:pPr>
  </w:style>
  <w:style w:type="paragraph" w:customStyle="1" w:styleId="12">
    <w:name w:val="Char Char1 Char Char Char Char Char Char Char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428</Words>
  <Characters>2446</Characters>
  <Lines>20</Lines>
  <Paragraphs>5</Paragraphs>
  <ScaleCrop>false</ScaleCrop>
  <LinksUpToDate>false</LinksUpToDate>
  <CharactersWithSpaces>2869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2017-08-28T02:14:00Z</dcterms:created>
  <dc:creator>za b</dc:creator>
  <cp:lastModifiedBy>fjwsxy</cp:lastModifiedBy>
  <dcterms:modified xsi:type="dcterms:W3CDTF">2017-09-20T00:53:12Z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