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10"/>
        <w:tblW w:w="13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2282"/>
        <w:gridCol w:w="6936"/>
        <w:gridCol w:w="881"/>
        <w:gridCol w:w="1151"/>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470" w:type="dxa"/>
            <w:vAlign w:val="center"/>
          </w:tcPr>
          <w:p>
            <w:pPr>
              <w:jc w:val="center"/>
              <w:rPr>
                <w:rFonts w:ascii="Times New Roman" w:hAnsi="Times New Roman"/>
                <w:szCs w:val="24"/>
              </w:rPr>
            </w:pPr>
            <w:bookmarkStart w:id="0" w:name="_Toc304388443"/>
            <w:r>
              <w:rPr>
                <w:rFonts w:hint="eastAsia" w:ascii="Times New Roman" w:hAnsi="Times New Roman"/>
                <w:szCs w:val="24"/>
              </w:rPr>
              <w:t>序号</w:t>
            </w:r>
          </w:p>
        </w:tc>
        <w:tc>
          <w:tcPr>
            <w:tcW w:w="2282" w:type="dxa"/>
            <w:vAlign w:val="center"/>
          </w:tcPr>
          <w:p>
            <w:pPr>
              <w:jc w:val="center"/>
              <w:rPr>
                <w:rFonts w:ascii="Times New Roman" w:hAnsi="Times New Roman"/>
                <w:szCs w:val="24"/>
              </w:rPr>
            </w:pPr>
            <w:r>
              <w:rPr>
                <w:rFonts w:hint="eastAsia" w:ascii="Times New Roman" w:hAnsi="Times New Roman"/>
                <w:szCs w:val="24"/>
              </w:rPr>
              <w:t>采购项目名称</w:t>
            </w:r>
          </w:p>
        </w:tc>
        <w:tc>
          <w:tcPr>
            <w:tcW w:w="6936" w:type="dxa"/>
            <w:vAlign w:val="center"/>
          </w:tcPr>
          <w:p>
            <w:pPr>
              <w:jc w:val="center"/>
              <w:rPr>
                <w:rFonts w:ascii="Times New Roman" w:hAnsi="Times New Roman"/>
                <w:szCs w:val="24"/>
              </w:rPr>
            </w:pPr>
            <w:r>
              <w:rPr>
                <w:rFonts w:hint="eastAsia" w:ascii="Times New Roman" w:hAnsi="Times New Roman"/>
                <w:szCs w:val="24"/>
              </w:rPr>
              <w:t>主要技术参数</w:t>
            </w:r>
          </w:p>
        </w:tc>
        <w:tc>
          <w:tcPr>
            <w:tcW w:w="881" w:type="dxa"/>
            <w:vAlign w:val="center"/>
          </w:tcPr>
          <w:p>
            <w:pPr>
              <w:jc w:val="center"/>
              <w:rPr>
                <w:rFonts w:ascii="Times New Roman" w:hAnsi="Times New Roman"/>
                <w:szCs w:val="24"/>
              </w:rPr>
            </w:pPr>
            <w:r>
              <w:rPr>
                <w:rFonts w:hint="eastAsia" w:ascii="Times New Roman" w:hAnsi="Times New Roman"/>
                <w:szCs w:val="24"/>
              </w:rPr>
              <w:t>数量</w:t>
            </w:r>
          </w:p>
        </w:tc>
        <w:tc>
          <w:tcPr>
            <w:tcW w:w="1151" w:type="dxa"/>
            <w:vAlign w:val="center"/>
          </w:tcPr>
          <w:p>
            <w:pPr>
              <w:jc w:val="center"/>
              <w:rPr>
                <w:rFonts w:ascii="Times New Roman" w:hAnsi="Times New Roman"/>
                <w:szCs w:val="24"/>
              </w:rPr>
            </w:pPr>
            <w:r>
              <w:rPr>
                <w:rFonts w:hint="eastAsia" w:ascii="Times New Roman" w:hAnsi="Times New Roman"/>
                <w:szCs w:val="24"/>
                <w:lang w:eastAsia="zh-CN"/>
              </w:rPr>
              <w:t>采购控制</w:t>
            </w:r>
            <w:r>
              <w:rPr>
                <w:rFonts w:hint="eastAsia" w:ascii="Times New Roman" w:hAnsi="Times New Roman"/>
                <w:szCs w:val="24"/>
              </w:rPr>
              <w:t>单价</w:t>
            </w:r>
          </w:p>
          <w:p>
            <w:pPr>
              <w:jc w:val="center"/>
              <w:rPr>
                <w:rFonts w:ascii="Times New Roman" w:hAnsi="Times New Roman"/>
                <w:szCs w:val="24"/>
              </w:rPr>
            </w:pPr>
            <w:r>
              <w:rPr>
                <w:rFonts w:hint="eastAsia" w:ascii="Times New Roman" w:hAnsi="Times New Roman"/>
                <w:szCs w:val="24"/>
              </w:rPr>
              <w:t>（元</w:t>
            </w:r>
            <w:r>
              <w:rPr>
                <w:rFonts w:ascii="Times New Roman" w:hAnsi="Times New Roman"/>
                <w:szCs w:val="24"/>
              </w:rPr>
              <w:t>）</w:t>
            </w:r>
          </w:p>
        </w:tc>
        <w:tc>
          <w:tcPr>
            <w:tcW w:w="1540" w:type="dxa"/>
            <w:vAlign w:val="center"/>
          </w:tcPr>
          <w:p>
            <w:pPr>
              <w:jc w:val="center"/>
              <w:rPr>
                <w:rFonts w:ascii="Times New Roman" w:hAnsi="Times New Roman"/>
                <w:szCs w:val="24"/>
              </w:rPr>
            </w:pPr>
            <w:r>
              <w:rPr>
                <w:rFonts w:hint="eastAsia" w:ascii="Times New Roman" w:hAnsi="Times New Roman"/>
                <w:szCs w:val="24"/>
                <w:lang w:eastAsia="zh-CN"/>
              </w:rPr>
              <w:t>采购控制总价</w:t>
            </w:r>
            <w:r>
              <w:rPr>
                <w:rFonts w:hint="eastAsia" w:ascii="Times New Roman" w:hAnsi="Times New Roman"/>
                <w:szCs w:val="24"/>
              </w:rPr>
              <w:t>（元</w:t>
            </w:r>
            <w:r>
              <w:rPr>
                <w:rFonts w:ascii="Times New Roman" w:hAnsi="Times New Roman"/>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7"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1</w:t>
            </w:r>
          </w:p>
        </w:tc>
        <w:tc>
          <w:tcPr>
            <w:tcW w:w="2282" w:type="dxa"/>
            <w:vAlign w:val="center"/>
          </w:tcPr>
          <w:p>
            <w:pPr>
              <w:jc w:val="center"/>
              <w:rPr>
                <w:rFonts w:ascii="宋体" w:hAnsi="宋体" w:cs="宋体"/>
                <w:sz w:val="24"/>
                <w:szCs w:val="24"/>
              </w:rPr>
            </w:pPr>
            <w:r>
              <w:rPr>
                <w:rFonts w:hint="eastAsia"/>
              </w:rPr>
              <w:t>点标台</w:t>
            </w:r>
          </w:p>
        </w:tc>
        <w:tc>
          <w:tcPr>
            <w:tcW w:w="6936" w:type="dxa"/>
            <w:vAlign w:val="center"/>
          </w:tcPr>
          <w:p>
            <w:pPr>
              <w:jc w:val="left"/>
              <w:rPr>
                <w:rFonts w:ascii="宋体" w:hAnsi="宋体" w:cs="宋体"/>
                <w:sz w:val="22"/>
              </w:rPr>
            </w:pPr>
            <w:r>
              <w:rPr>
                <w:rFonts w:hint="eastAsia"/>
                <w:sz w:val="22"/>
              </w:rPr>
              <w:t>(1)采用手持机和固定点标相结合的模式，不用专人看点，大大节省赛事活动组织时间和人力；(2)点标台终身无需维护，无需电池或是其它方式供电；(3)采用原装进口金融级芯片水准，安全性、可靠性达到业内最高水平；防水，防潮，防震,防腐蚀，温度范围－40℃～＋80℃；使用寿命在10年以上；可修改站号。(4)外形轻便易携带,坚固耐用，可以满足户外长期露天使用的要求。</w:t>
            </w:r>
          </w:p>
        </w:tc>
        <w:tc>
          <w:tcPr>
            <w:tcW w:w="881" w:type="dxa"/>
            <w:vAlign w:val="center"/>
          </w:tcPr>
          <w:p>
            <w:pPr>
              <w:jc w:val="center"/>
              <w:rPr>
                <w:rFonts w:ascii="宋体" w:hAnsi="宋体" w:cs="宋体"/>
                <w:sz w:val="24"/>
                <w:szCs w:val="24"/>
              </w:rPr>
            </w:pPr>
            <w:r>
              <w:rPr>
                <w:rFonts w:hint="eastAsia"/>
              </w:rPr>
              <w:t>20</w:t>
            </w:r>
          </w:p>
        </w:tc>
        <w:tc>
          <w:tcPr>
            <w:tcW w:w="1151" w:type="dxa"/>
            <w:vAlign w:val="center"/>
          </w:tcPr>
          <w:p>
            <w:pPr>
              <w:jc w:val="center"/>
              <w:rPr>
                <w:rFonts w:ascii="宋体" w:hAnsi="宋体" w:cs="宋体"/>
                <w:sz w:val="24"/>
                <w:szCs w:val="24"/>
              </w:rPr>
            </w:pPr>
            <w:r>
              <w:rPr>
                <w:rFonts w:hint="eastAsia"/>
              </w:rPr>
              <w:t>480</w:t>
            </w:r>
          </w:p>
        </w:tc>
        <w:tc>
          <w:tcPr>
            <w:tcW w:w="1540" w:type="dxa"/>
            <w:vAlign w:val="center"/>
          </w:tcPr>
          <w:p>
            <w:pPr>
              <w:jc w:val="center"/>
              <w:rPr>
                <w:rFonts w:ascii="宋体" w:hAnsi="宋体" w:cs="宋体"/>
                <w:sz w:val="24"/>
                <w:szCs w:val="24"/>
              </w:rPr>
            </w:pPr>
            <w:r>
              <w:rPr>
                <w:rFonts w:hint="eastAsia"/>
              </w:rPr>
              <w:t>9600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4"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2</w:t>
            </w:r>
          </w:p>
        </w:tc>
        <w:tc>
          <w:tcPr>
            <w:tcW w:w="2282" w:type="dxa"/>
            <w:vAlign w:val="center"/>
          </w:tcPr>
          <w:p>
            <w:pPr>
              <w:jc w:val="center"/>
              <w:rPr>
                <w:rFonts w:ascii="宋体" w:hAnsi="宋体" w:cs="宋体"/>
                <w:sz w:val="24"/>
                <w:szCs w:val="24"/>
              </w:rPr>
            </w:pPr>
            <w:r>
              <w:rPr>
                <w:rFonts w:hint="eastAsia"/>
              </w:rPr>
              <w:t>起点站</w:t>
            </w:r>
          </w:p>
        </w:tc>
        <w:tc>
          <w:tcPr>
            <w:tcW w:w="6936" w:type="dxa"/>
            <w:vAlign w:val="center"/>
          </w:tcPr>
          <w:p>
            <w:pPr>
              <w:jc w:val="left"/>
              <w:rPr>
                <w:rFonts w:ascii="Times New Roman" w:hAnsi="Times New Roman"/>
                <w:szCs w:val="21"/>
              </w:rPr>
            </w:pPr>
            <w:r>
              <w:rPr>
                <w:rFonts w:hint="eastAsia"/>
                <w:sz w:val="22"/>
              </w:rPr>
              <w:t>防水，防潮，防震，温度范围－25℃～＋80℃；具备起点计时功能，参加者手持机靠近起点打卡区即可启动计时。</w:t>
            </w:r>
          </w:p>
        </w:tc>
        <w:tc>
          <w:tcPr>
            <w:tcW w:w="881" w:type="dxa"/>
            <w:vAlign w:val="center"/>
          </w:tcPr>
          <w:p>
            <w:pPr>
              <w:jc w:val="center"/>
              <w:rPr>
                <w:rFonts w:ascii="宋体" w:hAnsi="宋体" w:cs="宋体"/>
                <w:sz w:val="24"/>
                <w:szCs w:val="24"/>
              </w:rPr>
            </w:pPr>
            <w:r>
              <w:rPr>
                <w:rFonts w:hint="eastAsia"/>
              </w:rPr>
              <w:t>1</w:t>
            </w:r>
          </w:p>
        </w:tc>
        <w:tc>
          <w:tcPr>
            <w:tcW w:w="1151" w:type="dxa"/>
            <w:vAlign w:val="center"/>
          </w:tcPr>
          <w:p>
            <w:pPr>
              <w:jc w:val="center"/>
              <w:rPr>
                <w:rFonts w:ascii="宋体" w:hAnsi="宋体" w:cs="宋体"/>
                <w:sz w:val="24"/>
                <w:szCs w:val="24"/>
              </w:rPr>
            </w:pPr>
            <w:r>
              <w:rPr>
                <w:rFonts w:hint="eastAsia"/>
              </w:rPr>
              <w:t>1106</w:t>
            </w:r>
          </w:p>
        </w:tc>
        <w:tc>
          <w:tcPr>
            <w:tcW w:w="1540" w:type="dxa"/>
            <w:vAlign w:val="center"/>
          </w:tcPr>
          <w:p>
            <w:pPr>
              <w:jc w:val="center"/>
              <w:rPr>
                <w:rFonts w:ascii="宋体" w:hAnsi="宋体" w:cs="宋体"/>
                <w:sz w:val="24"/>
                <w:szCs w:val="24"/>
              </w:rPr>
            </w:pPr>
            <w:r>
              <w:rPr>
                <w:rFonts w:hint="eastAsia"/>
              </w:rPr>
              <w:t>1106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4"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3</w:t>
            </w:r>
          </w:p>
        </w:tc>
        <w:tc>
          <w:tcPr>
            <w:tcW w:w="2282" w:type="dxa"/>
            <w:vAlign w:val="center"/>
          </w:tcPr>
          <w:p>
            <w:pPr>
              <w:jc w:val="center"/>
              <w:rPr>
                <w:rFonts w:ascii="宋体" w:hAnsi="宋体" w:cs="宋体"/>
                <w:sz w:val="24"/>
                <w:szCs w:val="24"/>
              </w:rPr>
            </w:pPr>
            <w:r>
              <w:rPr>
                <w:rFonts w:hint="eastAsia"/>
              </w:rPr>
              <w:t>终点站</w:t>
            </w:r>
          </w:p>
        </w:tc>
        <w:tc>
          <w:tcPr>
            <w:tcW w:w="6936" w:type="dxa"/>
            <w:vAlign w:val="center"/>
          </w:tcPr>
          <w:p>
            <w:pPr>
              <w:rPr>
                <w:rFonts w:ascii="宋体" w:hAnsi="宋体" w:cs="宋体"/>
                <w:sz w:val="22"/>
              </w:rPr>
            </w:pPr>
            <w:r>
              <w:rPr>
                <w:rFonts w:hint="eastAsia"/>
                <w:sz w:val="22"/>
              </w:rPr>
              <w:t>具备终点计时功能。参加者手持机靠近起点打卡区即可终止计时。参数与起点相同。</w:t>
            </w:r>
          </w:p>
        </w:tc>
        <w:tc>
          <w:tcPr>
            <w:tcW w:w="881" w:type="dxa"/>
            <w:vAlign w:val="center"/>
          </w:tcPr>
          <w:p>
            <w:pPr>
              <w:jc w:val="center"/>
              <w:rPr>
                <w:rFonts w:ascii="宋体" w:hAnsi="宋体" w:cs="宋体"/>
                <w:sz w:val="24"/>
                <w:szCs w:val="24"/>
              </w:rPr>
            </w:pPr>
            <w:r>
              <w:rPr>
                <w:rFonts w:hint="eastAsia"/>
              </w:rPr>
              <w:t>1</w:t>
            </w:r>
          </w:p>
        </w:tc>
        <w:tc>
          <w:tcPr>
            <w:tcW w:w="1151" w:type="dxa"/>
            <w:vAlign w:val="center"/>
          </w:tcPr>
          <w:p>
            <w:pPr>
              <w:jc w:val="center"/>
              <w:rPr>
                <w:rFonts w:ascii="宋体" w:hAnsi="宋体" w:cs="宋体"/>
                <w:sz w:val="24"/>
                <w:szCs w:val="24"/>
              </w:rPr>
            </w:pPr>
            <w:r>
              <w:rPr>
                <w:rFonts w:hint="eastAsia"/>
              </w:rPr>
              <w:t>1106</w:t>
            </w:r>
          </w:p>
        </w:tc>
        <w:tc>
          <w:tcPr>
            <w:tcW w:w="1540" w:type="dxa"/>
            <w:vAlign w:val="center"/>
          </w:tcPr>
          <w:p>
            <w:pPr>
              <w:jc w:val="center"/>
              <w:rPr>
                <w:rFonts w:ascii="宋体" w:hAnsi="宋体" w:cs="宋体"/>
                <w:sz w:val="24"/>
                <w:szCs w:val="24"/>
              </w:rPr>
            </w:pPr>
            <w:r>
              <w:rPr>
                <w:rFonts w:hint="eastAsia"/>
              </w:rPr>
              <w:t>1106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1"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4</w:t>
            </w:r>
          </w:p>
        </w:tc>
        <w:tc>
          <w:tcPr>
            <w:tcW w:w="2282" w:type="dxa"/>
            <w:vAlign w:val="center"/>
          </w:tcPr>
          <w:p>
            <w:pPr>
              <w:jc w:val="center"/>
              <w:rPr>
                <w:rFonts w:ascii="宋体" w:hAnsi="宋体" w:cs="宋体"/>
                <w:sz w:val="24"/>
                <w:szCs w:val="24"/>
              </w:rPr>
            </w:pPr>
            <w:r>
              <w:rPr>
                <w:rFonts w:hint="eastAsia"/>
              </w:rPr>
              <w:t>主站</w:t>
            </w:r>
          </w:p>
        </w:tc>
        <w:tc>
          <w:tcPr>
            <w:tcW w:w="6936" w:type="dxa"/>
            <w:vAlign w:val="center"/>
          </w:tcPr>
          <w:p>
            <w:pPr>
              <w:rPr>
                <w:rFonts w:ascii="宋体" w:hAnsi="宋体" w:cs="宋体"/>
                <w:b/>
                <w:bCs/>
                <w:sz w:val="22"/>
              </w:rPr>
            </w:pPr>
            <w:r>
              <w:rPr>
                <w:rFonts w:hint="eastAsia"/>
                <w:sz w:val="22"/>
              </w:rPr>
              <w:t>用于读取运动员比赛数据信息（一次比赛可设定250个中间站）；通过蓝牙与打印机或手机相连；发送比赛数据到打印机或计算机、手机，配合相应软件可用于备份和仲裁使用。2节7号电池供电。</w:t>
            </w:r>
          </w:p>
        </w:tc>
        <w:tc>
          <w:tcPr>
            <w:tcW w:w="881" w:type="dxa"/>
            <w:vAlign w:val="center"/>
          </w:tcPr>
          <w:p>
            <w:pPr>
              <w:jc w:val="center"/>
              <w:rPr>
                <w:rFonts w:ascii="宋体" w:hAnsi="宋体" w:cs="宋体"/>
                <w:sz w:val="24"/>
                <w:szCs w:val="24"/>
              </w:rPr>
            </w:pPr>
            <w:r>
              <w:rPr>
                <w:rFonts w:hint="eastAsia"/>
              </w:rPr>
              <w:t>1</w:t>
            </w:r>
          </w:p>
        </w:tc>
        <w:tc>
          <w:tcPr>
            <w:tcW w:w="1151" w:type="dxa"/>
            <w:vAlign w:val="center"/>
          </w:tcPr>
          <w:p>
            <w:pPr>
              <w:jc w:val="center"/>
              <w:rPr>
                <w:rFonts w:ascii="宋体" w:hAnsi="宋体" w:cs="宋体"/>
                <w:sz w:val="24"/>
                <w:szCs w:val="24"/>
              </w:rPr>
            </w:pPr>
            <w:r>
              <w:rPr>
                <w:rFonts w:hint="eastAsia"/>
              </w:rPr>
              <w:t>1120</w:t>
            </w:r>
          </w:p>
        </w:tc>
        <w:tc>
          <w:tcPr>
            <w:tcW w:w="1540" w:type="dxa"/>
            <w:vAlign w:val="center"/>
          </w:tcPr>
          <w:p>
            <w:pPr>
              <w:jc w:val="center"/>
              <w:rPr>
                <w:rFonts w:ascii="宋体" w:hAnsi="宋体" w:cs="宋体"/>
                <w:sz w:val="24"/>
                <w:szCs w:val="24"/>
              </w:rPr>
            </w:pPr>
            <w:r>
              <w:rPr>
                <w:rFonts w:hint="eastAsia"/>
              </w:rPr>
              <w:t>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396"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5</w:t>
            </w:r>
          </w:p>
        </w:tc>
        <w:tc>
          <w:tcPr>
            <w:tcW w:w="2282" w:type="dxa"/>
            <w:vAlign w:val="center"/>
          </w:tcPr>
          <w:p>
            <w:pPr>
              <w:jc w:val="center"/>
              <w:rPr>
                <w:rFonts w:ascii="宋体" w:hAnsi="宋体" w:cs="宋体"/>
                <w:sz w:val="24"/>
                <w:szCs w:val="24"/>
              </w:rPr>
            </w:pPr>
            <w:r>
              <w:rPr>
                <w:rFonts w:hint="eastAsia"/>
              </w:rPr>
              <w:t>手持机</w:t>
            </w:r>
          </w:p>
        </w:tc>
        <w:tc>
          <w:tcPr>
            <w:tcW w:w="6936" w:type="dxa"/>
            <w:vAlign w:val="center"/>
          </w:tcPr>
          <w:p>
            <w:pPr>
              <w:rPr>
                <w:rFonts w:ascii="宋体" w:hAnsi="宋体" w:cs="宋体"/>
                <w:sz w:val="22"/>
              </w:rPr>
            </w:pPr>
            <w:r>
              <w:rPr>
                <w:rFonts w:hint="eastAsia"/>
                <w:sz w:val="22"/>
              </w:rPr>
              <w:t>充分满足各类比赛的站点数据存储要求可(存储250个检查点信息)，存储容量达到2M字节以上，功能指标达到并超过传统点签器的水准；支持与读卡器无线通讯,进行数据交换和功能配置；自身具备打卡声音提示功能；可以将姓名、单位、组别等竞赛信息写入手持机中，实现实名制；用于记录参加者到访的检查点数据和到访时间。采用工业电池供电,电池方便充电，使用时间可达一年以上。腕带可方便调整，小巧坚固。</w:t>
            </w:r>
          </w:p>
        </w:tc>
        <w:tc>
          <w:tcPr>
            <w:tcW w:w="881" w:type="dxa"/>
            <w:vAlign w:val="center"/>
          </w:tcPr>
          <w:p>
            <w:pPr>
              <w:jc w:val="center"/>
              <w:rPr>
                <w:rFonts w:ascii="宋体" w:hAnsi="宋体" w:cs="宋体"/>
                <w:sz w:val="24"/>
                <w:szCs w:val="24"/>
              </w:rPr>
            </w:pPr>
            <w:r>
              <w:rPr>
                <w:rFonts w:hint="eastAsia"/>
              </w:rPr>
              <w:t>12</w:t>
            </w:r>
          </w:p>
        </w:tc>
        <w:tc>
          <w:tcPr>
            <w:tcW w:w="1151" w:type="dxa"/>
            <w:vAlign w:val="center"/>
          </w:tcPr>
          <w:p>
            <w:pPr>
              <w:jc w:val="center"/>
              <w:rPr>
                <w:rFonts w:ascii="宋体" w:hAnsi="宋体" w:cs="宋体"/>
                <w:sz w:val="24"/>
                <w:szCs w:val="24"/>
              </w:rPr>
            </w:pPr>
            <w:r>
              <w:rPr>
                <w:rFonts w:hint="eastAsia"/>
              </w:rPr>
              <w:t>1000</w:t>
            </w:r>
          </w:p>
        </w:tc>
        <w:tc>
          <w:tcPr>
            <w:tcW w:w="1540" w:type="dxa"/>
            <w:vAlign w:val="center"/>
          </w:tcPr>
          <w:p>
            <w:pPr>
              <w:jc w:val="center"/>
              <w:rPr>
                <w:rFonts w:ascii="宋体" w:hAnsi="宋体" w:cs="宋体"/>
                <w:sz w:val="24"/>
                <w:szCs w:val="24"/>
              </w:rPr>
            </w:pPr>
            <w:r>
              <w:rPr>
                <w:rFonts w:hint="eastAsia"/>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01"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6</w:t>
            </w:r>
          </w:p>
        </w:tc>
        <w:tc>
          <w:tcPr>
            <w:tcW w:w="2282" w:type="dxa"/>
            <w:vAlign w:val="center"/>
          </w:tcPr>
          <w:p>
            <w:pPr>
              <w:jc w:val="center"/>
              <w:rPr>
                <w:rFonts w:ascii="宋体" w:hAnsi="宋体" w:cs="宋体"/>
                <w:sz w:val="24"/>
                <w:szCs w:val="24"/>
              </w:rPr>
            </w:pPr>
            <w:r>
              <w:rPr>
                <w:rFonts w:hint="eastAsia"/>
              </w:rPr>
              <w:t>便携式热敏打印机</w:t>
            </w:r>
          </w:p>
        </w:tc>
        <w:tc>
          <w:tcPr>
            <w:tcW w:w="6936" w:type="dxa"/>
            <w:vAlign w:val="center"/>
          </w:tcPr>
          <w:p>
            <w:pPr>
              <w:rPr>
                <w:rFonts w:ascii="宋体" w:hAnsi="宋体" w:cs="宋体"/>
                <w:sz w:val="22"/>
              </w:rPr>
            </w:pPr>
            <w:r>
              <w:rPr>
                <w:rFonts w:hint="eastAsia"/>
                <w:sz w:val="22"/>
              </w:rPr>
              <w:t>汉字输出，支持姓名、单位打印输出；热敏打印方式，打印速度不低于50mm/s；40分钟快速充电，支持排序打印；待机时间不低于10小时；体积小,轻便型与实用性相结合，可安装大卷热敏打印纸携带方便（特别适合教学与训练使用）。</w:t>
            </w:r>
          </w:p>
        </w:tc>
        <w:tc>
          <w:tcPr>
            <w:tcW w:w="881" w:type="dxa"/>
            <w:vAlign w:val="center"/>
          </w:tcPr>
          <w:p>
            <w:pPr>
              <w:jc w:val="center"/>
              <w:rPr>
                <w:rFonts w:ascii="宋体" w:hAnsi="宋体" w:cs="宋体"/>
                <w:sz w:val="24"/>
                <w:szCs w:val="24"/>
              </w:rPr>
            </w:pPr>
            <w:r>
              <w:rPr>
                <w:rFonts w:hint="eastAsia"/>
              </w:rPr>
              <w:t>1</w:t>
            </w:r>
          </w:p>
        </w:tc>
        <w:tc>
          <w:tcPr>
            <w:tcW w:w="1151" w:type="dxa"/>
            <w:vAlign w:val="center"/>
          </w:tcPr>
          <w:p>
            <w:pPr>
              <w:jc w:val="center"/>
              <w:rPr>
                <w:rFonts w:ascii="宋体" w:hAnsi="宋体" w:cs="宋体"/>
                <w:sz w:val="24"/>
                <w:szCs w:val="24"/>
              </w:rPr>
            </w:pPr>
            <w:r>
              <w:rPr>
                <w:rFonts w:hint="eastAsia"/>
              </w:rPr>
              <w:t>2240</w:t>
            </w:r>
          </w:p>
        </w:tc>
        <w:tc>
          <w:tcPr>
            <w:tcW w:w="1540" w:type="dxa"/>
            <w:vAlign w:val="center"/>
          </w:tcPr>
          <w:p>
            <w:pPr>
              <w:jc w:val="center"/>
              <w:rPr>
                <w:rFonts w:ascii="宋体" w:hAnsi="宋体" w:cs="宋体"/>
                <w:sz w:val="24"/>
                <w:szCs w:val="24"/>
              </w:rPr>
            </w:pPr>
            <w:r>
              <w:rPr>
                <w:rFonts w:hint="eastAsia"/>
              </w:rPr>
              <w:t>2240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7</w:t>
            </w:r>
          </w:p>
        </w:tc>
        <w:tc>
          <w:tcPr>
            <w:tcW w:w="2282" w:type="dxa"/>
            <w:vAlign w:val="center"/>
          </w:tcPr>
          <w:p>
            <w:pPr>
              <w:jc w:val="center"/>
              <w:rPr>
                <w:rFonts w:ascii="宋体" w:hAnsi="宋体" w:cs="宋体"/>
                <w:sz w:val="24"/>
                <w:szCs w:val="24"/>
              </w:rPr>
            </w:pPr>
            <w:r>
              <w:rPr>
                <w:rFonts w:hint="eastAsia"/>
              </w:rPr>
              <w:t>定向专业指北针</w:t>
            </w:r>
          </w:p>
        </w:tc>
        <w:tc>
          <w:tcPr>
            <w:tcW w:w="6936" w:type="dxa"/>
            <w:vAlign w:val="center"/>
          </w:tcPr>
          <w:p>
            <w:pPr>
              <w:jc w:val="left"/>
              <w:rPr>
                <w:sz w:val="22"/>
              </w:rPr>
            </w:pPr>
            <w:r>
              <w:rPr>
                <w:rFonts w:hint="eastAsia" w:ascii="Roboto-Regular" w:hAnsi="Roboto-Regular" w:eastAsia="Roboto-Regular"/>
                <w:sz w:val="24"/>
              </w:rPr>
              <w:t>600</w:t>
            </w:r>
            <w:r>
              <w:rPr>
                <w:rFonts w:hint="eastAsia" w:ascii="HYQiHei-EZS" w:hAnsi="HYQiHei-EZS" w:eastAsia="HYQiHei-EZS"/>
                <w:sz w:val="24"/>
              </w:rPr>
              <w:t>高斯强磁性，适合中教育教学，活动普及，初中级定向比赛。</w:t>
            </w:r>
          </w:p>
        </w:tc>
        <w:tc>
          <w:tcPr>
            <w:tcW w:w="881" w:type="dxa"/>
            <w:vAlign w:val="center"/>
          </w:tcPr>
          <w:p>
            <w:pPr>
              <w:jc w:val="center"/>
              <w:rPr>
                <w:rFonts w:ascii="宋体" w:hAnsi="宋体" w:cs="宋体"/>
                <w:sz w:val="24"/>
                <w:szCs w:val="24"/>
              </w:rPr>
            </w:pPr>
            <w:r>
              <w:rPr>
                <w:rFonts w:hint="eastAsia"/>
              </w:rPr>
              <w:t>24</w:t>
            </w:r>
          </w:p>
        </w:tc>
        <w:tc>
          <w:tcPr>
            <w:tcW w:w="1151" w:type="dxa"/>
            <w:vAlign w:val="center"/>
          </w:tcPr>
          <w:p>
            <w:pPr>
              <w:jc w:val="center"/>
              <w:rPr>
                <w:rFonts w:ascii="宋体" w:hAnsi="宋体" w:cs="宋体"/>
                <w:sz w:val="24"/>
                <w:szCs w:val="24"/>
              </w:rPr>
            </w:pPr>
            <w:r>
              <w:rPr>
                <w:rFonts w:hint="eastAsia"/>
              </w:rPr>
              <w:t>35</w:t>
            </w:r>
          </w:p>
        </w:tc>
        <w:tc>
          <w:tcPr>
            <w:tcW w:w="1540" w:type="dxa"/>
            <w:vAlign w:val="center"/>
          </w:tcPr>
          <w:p>
            <w:pPr>
              <w:jc w:val="center"/>
              <w:rPr>
                <w:rFonts w:ascii="宋体" w:hAnsi="宋体" w:cs="宋体"/>
                <w:sz w:val="24"/>
                <w:szCs w:val="24"/>
              </w:rPr>
            </w:pPr>
            <w:r>
              <w:rPr>
                <w:rFonts w:hint="eastAsia"/>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jc w:val="center"/>
        </w:trPr>
        <w:tc>
          <w:tcPr>
            <w:tcW w:w="470" w:type="dxa"/>
            <w:vAlign w:val="center"/>
          </w:tcPr>
          <w:p>
            <w:pPr>
              <w:jc w:val="center"/>
              <w:rPr>
                <w:rFonts w:ascii="Times New Roman" w:hAnsi="Times New Roman"/>
                <w:szCs w:val="24"/>
              </w:rPr>
            </w:pPr>
            <w:r>
              <w:rPr>
                <w:rFonts w:hint="eastAsia" w:ascii="Times New Roman" w:hAnsi="Times New Roman"/>
                <w:szCs w:val="24"/>
              </w:rPr>
              <w:t>8</w:t>
            </w:r>
          </w:p>
        </w:tc>
        <w:tc>
          <w:tcPr>
            <w:tcW w:w="2282" w:type="dxa"/>
            <w:vAlign w:val="center"/>
          </w:tcPr>
          <w:p>
            <w:pPr>
              <w:ind w:firstLine="210" w:firstLineChars="100"/>
            </w:pPr>
            <w:r>
              <w:rPr>
                <w:rFonts w:hint="eastAsia"/>
              </w:rPr>
              <w:t>校园地图制作</w:t>
            </w:r>
          </w:p>
        </w:tc>
        <w:tc>
          <w:tcPr>
            <w:tcW w:w="6936" w:type="dxa"/>
            <w:vAlign w:val="center"/>
          </w:tcPr>
          <w:p>
            <w:pPr>
              <w:jc w:val="center"/>
              <w:rPr>
                <w:sz w:val="22"/>
              </w:rPr>
            </w:pPr>
            <w:r>
              <w:rPr>
                <w:rFonts w:hint="eastAsia"/>
                <w:sz w:val="22"/>
              </w:rPr>
              <w:t>校园定向地图制作，满足定向训练需求，可生产A4或者A3大小，方便训练使用。</w:t>
            </w:r>
          </w:p>
        </w:tc>
        <w:tc>
          <w:tcPr>
            <w:tcW w:w="881" w:type="dxa"/>
            <w:vAlign w:val="center"/>
          </w:tcPr>
          <w:p>
            <w:pPr>
              <w:jc w:val="center"/>
            </w:pPr>
            <w:r>
              <w:rPr>
                <w:rFonts w:hint="eastAsia"/>
              </w:rPr>
              <w:t>1</w:t>
            </w:r>
          </w:p>
        </w:tc>
        <w:tc>
          <w:tcPr>
            <w:tcW w:w="1151" w:type="dxa"/>
            <w:vAlign w:val="center"/>
          </w:tcPr>
          <w:p>
            <w:pPr>
              <w:jc w:val="center"/>
            </w:pPr>
            <w:r>
              <w:rPr>
                <w:rFonts w:hint="eastAsia"/>
              </w:rPr>
              <w:t>3500</w:t>
            </w:r>
          </w:p>
        </w:tc>
        <w:tc>
          <w:tcPr>
            <w:tcW w:w="1540" w:type="dxa"/>
            <w:vAlign w:val="center"/>
          </w:tcPr>
          <w:p>
            <w:pPr>
              <w:jc w:val="center"/>
            </w:pPr>
            <w:r>
              <w:rPr>
                <w:rFonts w:hint="eastAsia"/>
              </w:rPr>
              <w:t>3500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10"/>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550"/>
        <w:gridCol w:w="9300"/>
        <w:gridCol w:w="238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550"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9300"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2387"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6" w:hRule="atLeast"/>
        </w:trPr>
        <w:tc>
          <w:tcPr>
            <w:tcW w:w="490" w:type="dxa"/>
            <w:shd w:val="clear" w:color="auto" w:fill="auto"/>
            <w:vAlign w:val="center"/>
          </w:tcPr>
          <w:p>
            <w:pPr>
              <w:spacing w:line="240" w:lineRule="atLeast"/>
              <w:jc w:val="both"/>
              <w:rPr>
                <w:szCs w:val="24"/>
              </w:rPr>
            </w:pPr>
            <w:r>
              <w:rPr>
                <w:rFonts w:hint="eastAsia"/>
                <w:szCs w:val="24"/>
              </w:rPr>
              <w:t>1</w:t>
            </w:r>
          </w:p>
        </w:tc>
        <w:tc>
          <w:tcPr>
            <w:tcW w:w="1550" w:type="dxa"/>
            <w:shd w:val="clear" w:color="auto" w:fill="FFFFFF"/>
            <w:vAlign w:val="center"/>
          </w:tcPr>
          <w:p>
            <w:pPr>
              <w:spacing w:line="240" w:lineRule="exact"/>
              <w:jc w:val="left"/>
              <w:rPr>
                <w:szCs w:val="24"/>
              </w:rPr>
            </w:pPr>
          </w:p>
        </w:tc>
        <w:tc>
          <w:tcPr>
            <w:tcW w:w="9300" w:type="dxa"/>
            <w:vAlign w:val="center"/>
          </w:tcPr>
          <w:p>
            <w:pPr>
              <w:spacing w:line="360" w:lineRule="exact"/>
              <w:rPr>
                <w:rFonts w:hint="eastAsia" w:ascii="宋体" w:hAnsi="宋体"/>
                <w:sz w:val="21"/>
                <w:szCs w:val="21"/>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490" w:type="dxa"/>
            <w:shd w:val="clear" w:color="auto" w:fill="auto"/>
            <w:vAlign w:val="center"/>
          </w:tcPr>
          <w:p>
            <w:pPr>
              <w:spacing w:line="240" w:lineRule="atLeast"/>
              <w:jc w:val="both"/>
              <w:rPr>
                <w:rFonts w:hint="eastAsia" w:eastAsiaTheme="minorEastAsia"/>
                <w:szCs w:val="24"/>
                <w:lang w:val="en-US" w:eastAsia="zh-CN"/>
              </w:rPr>
            </w:pPr>
            <w:r>
              <w:rPr>
                <w:rFonts w:hint="eastAsia"/>
                <w:szCs w:val="24"/>
                <w:lang w:val="en-US" w:eastAsia="zh-CN"/>
              </w:rPr>
              <w:t>2</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490" w:type="dxa"/>
            <w:shd w:val="clear" w:color="auto" w:fill="auto"/>
            <w:vAlign w:val="center"/>
          </w:tcPr>
          <w:p>
            <w:pPr>
              <w:spacing w:line="240" w:lineRule="atLeast"/>
              <w:jc w:val="both"/>
              <w:rPr>
                <w:rFonts w:hint="eastAsia"/>
                <w:szCs w:val="24"/>
                <w:lang w:val="en-US" w:eastAsia="zh-CN"/>
              </w:rPr>
            </w:pPr>
            <w:r>
              <w:rPr>
                <w:rFonts w:hint="eastAsia"/>
                <w:szCs w:val="24"/>
                <w:lang w:val="en-US" w:eastAsia="zh-CN"/>
              </w:rPr>
              <w:t>3</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 w:hRule="atLeast"/>
        </w:trPr>
        <w:tc>
          <w:tcPr>
            <w:tcW w:w="490" w:type="dxa"/>
            <w:shd w:val="clear" w:color="auto" w:fill="auto"/>
            <w:vAlign w:val="center"/>
          </w:tcPr>
          <w:p>
            <w:pPr>
              <w:spacing w:line="240" w:lineRule="atLeast"/>
              <w:jc w:val="both"/>
              <w:rPr>
                <w:rFonts w:hint="eastAsia"/>
                <w:szCs w:val="24"/>
                <w:lang w:val="en-US" w:eastAsia="zh-CN"/>
              </w:rPr>
            </w:pPr>
            <w:r>
              <w:rPr>
                <w:rFonts w:hint="eastAsia"/>
                <w:szCs w:val="24"/>
                <w:lang w:val="en-US" w:eastAsia="zh-CN"/>
              </w:rPr>
              <w:t>4</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490" w:type="dxa"/>
            <w:shd w:val="clear" w:color="auto" w:fill="auto"/>
            <w:vAlign w:val="center"/>
          </w:tcPr>
          <w:p>
            <w:pPr>
              <w:spacing w:line="240" w:lineRule="atLeast"/>
              <w:jc w:val="both"/>
              <w:rPr>
                <w:rFonts w:hint="eastAsia"/>
                <w:szCs w:val="24"/>
                <w:lang w:val="en-US" w:eastAsia="zh-CN"/>
              </w:rPr>
            </w:pPr>
            <w:r>
              <w:rPr>
                <w:rFonts w:hint="eastAsia"/>
                <w:szCs w:val="24"/>
                <w:lang w:val="en-US" w:eastAsia="zh-CN"/>
              </w:rPr>
              <w:t>5</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trPr>
        <w:tc>
          <w:tcPr>
            <w:tcW w:w="490" w:type="dxa"/>
            <w:shd w:val="clear" w:color="auto" w:fill="auto"/>
            <w:vAlign w:val="center"/>
          </w:tcPr>
          <w:p>
            <w:pPr>
              <w:spacing w:line="240" w:lineRule="atLeast"/>
              <w:jc w:val="both"/>
              <w:rPr>
                <w:rFonts w:hint="eastAsia"/>
                <w:szCs w:val="24"/>
                <w:lang w:val="en-US" w:eastAsia="zh-CN"/>
              </w:rPr>
            </w:pPr>
            <w:r>
              <w:rPr>
                <w:rFonts w:hint="eastAsia"/>
                <w:szCs w:val="24"/>
                <w:lang w:val="en-US" w:eastAsia="zh-CN"/>
              </w:rPr>
              <w:t>6</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490" w:type="dxa"/>
            <w:shd w:val="clear" w:color="auto" w:fill="auto"/>
            <w:vAlign w:val="center"/>
          </w:tcPr>
          <w:p>
            <w:pPr>
              <w:spacing w:line="240" w:lineRule="atLeast"/>
              <w:jc w:val="both"/>
              <w:rPr>
                <w:rFonts w:hint="eastAsia"/>
                <w:szCs w:val="24"/>
                <w:lang w:val="en-US" w:eastAsia="zh-CN"/>
              </w:rPr>
            </w:pPr>
            <w:r>
              <w:rPr>
                <w:rFonts w:hint="eastAsia"/>
                <w:szCs w:val="24"/>
                <w:lang w:val="en-US" w:eastAsia="zh-CN"/>
              </w:rPr>
              <w:t>7</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6" w:hRule="atLeast"/>
        </w:trPr>
        <w:tc>
          <w:tcPr>
            <w:tcW w:w="490" w:type="dxa"/>
            <w:shd w:val="clear" w:color="auto" w:fill="auto"/>
            <w:vAlign w:val="center"/>
          </w:tcPr>
          <w:p>
            <w:pPr>
              <w:spacing w:line="240" w:lineRule="atLeast"/>
              <w:jc w:val="both"/>
              <w:rPr>
                <w:rFonts w:hint="eastAsia"/>
                <w:szCs w:val="24"/>
                <w:lang w:val="en-US" w:eastAsia="zh-CN"/>
              </w:rPr>
            </w:pPr>
            <w:r>
              <w:rPr>
                <w:rFonts w:hint="eastAsia"/>
                <w:szCs w:val="24"/>
                <w:lang w:val="en-US" w:eastAsia="zh-CN"/>
              </w:rPr>
              <w:t>8</w:t>
            </w:r>
          </w:p>
        </w:tc>
        <w:tc>
          <w:tcPr>
            <w:tcW w:w="1550" w:type="dxa"/>
            <w:shd w:val="clear" w:color="auto" w:fill="FFFFFF"/>
            <w:vAlign w:val="center"/>
          </w:tcPr>
          <w:p>
            <w:pPr>
              <w:spacing w:line="240" w:lineRule="exact"/>
              <w:jc w:val="left"/>
              <w:rPr>
                <w:szCs w:val="24"/>
              </w:rPr>
            </w:pPr>
          </w:p>
        </w:tc>
        <w:tc>
          <w:tcPr>
            <w:tcW w:w="9300" w:type="dxa"/>
            <w:vAlign w:val="center"/>
          </w:tcPr>
          <w:p>
            <w:pPr>
              <w:spacing w:line="240" w:lineRule="exact"/>
              <w:jc w:val="both"/>
              <w:rPr>
                <w:rFonts w:hint="eastAsia" w:ascii="Times New Roman" w:hAnsi="Times New Roman"/>
                <w:szCs w:val="21"/>
                <w:vertAlign w:val="superscript"/>
                <w:lang w:val="en-US" w:eastAsia="zh-CN"/>
              </w:rPr>
            </w:pP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9300" w:type="dxa"/>
            <w:vAlign w:val="top"/>
          </w:tcPr>
          <w:p>
            <w:pPr>
              <w:numPr>
                <w:ilvl w:val="0"/>
                <w:numId w:val="0"/>
              </w:numPr>
              <w:ind w:leftChars="0"/>
              <w:rPr>
                <w:rFonts w:hint="eastAsia" w:ascii="Times New Roman" w:hAnsi="Times New Roman"/>
                <w:sz w:val="21"/>
                <w:szCs w:val="21"/>
                <w:lang w:eastAsia="zh-CN"/>
              </w:rPr>
            </w:pPr>
            <w:r>
              <w:rPr>
                <w:rFonts w:hint="eastAsia" w:ascii="Times New Roman" w:hAnsi="Times New Roman" w:eastAsia="宋体" w:cs="宋体"/>
                <w:kern w:val="2"/>
                <w:sz w:val="21"/>
                <w:szCs w:val="21"/>
                <w:lang w:val="en-US" w:eastAsia="zh-CN" w:bidi="ar"/>
              </w:rPr>
              <w:t>1</w:t>
            </w:r>
            <w:r>
              <w:rPr>
                <w:rFonts w:hint="eastAsia" w:ascii="宋体" w:hAnsi="宋体" w:eastAsia="宋体" w:cs="宋体"/>
                <w:kern w:val="2"/>
                <w:sz w:val="21"/>
                <w:szCs w:val="21"/>
                <w:lang w:val="en-US" w:eastAsia="zh-CN" w:bidi="ar"/>
              </w:rPr>
              <w:t>.免费保修期</w:t>
            </w:r>
            <w:r>
              <w:rPr>
                <w:rFonts w:hint="eastAsia" w:ascii="宋体" w:hAnsi="宋体" w:cs="宋体"/>
                <w:color w:val="000000"/>
                <w:kern w:val="0"/>
                <w:sz w:val="22"/>
              </w:rPr>
              <w:t>1年，在保质期内供应商免费上门定期维护、保养、维修，随时维修，损坏及时更换</w:t>
            </w:r>
            <w:r>
              <w:rPr>
                <w:rFonts w:hint="eastAsia"/>
              </w:rPr>
              <w:t>。</w:t>
            </w:r>
            <w:r>
              <w:rPr>
                <w:rFonts w:hint="eastAsia" w:eastAsia="宋体" w:cs="宋体"/>
                <w:kern w:val="2"/>
                <w:sz w:val="21"/>
                <w:szCs w:val="21"/>
                <w:lang w:val="en-US" w:eastAsia="zh-CN" w:bidi="ar"/>
              </w:rPr>
              <w:t>2.</w:t>
            </w:r>
            <w:r>
              <w:rPr>
                <w:rFonts w:hint="eastAsia" w:ascii="宋体" w:hAnsi="宋体" w:eastAsia="宋体" w:cs="宋体"/>
                <w:kern w:val="2"/>
                <w:sz w:val="21"/>
                <w:szCs w:val="21"/>
                <w:lang w:val="en-US" w:eastAsia="zh-CN" w:bidi="ar"/>
              </w:rPr>
              <w:t>供货时间：合同签订之日起7日内。</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9300" w:type="dxa"/>
            <w:vAlign w:val="top"/>
          </w:tcPr>
          <w:p>
            <w:pPr>
              <w:pStyle w:val="16"/>
              <w:tabs>
                <w:tab w:val="left" w:pos="3438"/>
              </w:tabs>
              <w:adjustRightInd w:val="0"/>
              <w:snapToGrid w:val="0"/>
              <w:spacing w:line="400" w:lineRule="exact"/>
              <w:outlineLvl w:val="9"/>
              <w:rPr>
                <w:rFonts w:hint="eastAsia" w:ascii="宋体" w:hAnsi="宋体" w:eastAsia="宋体" w:cs="宋体"/>
                <w:kern w:val="2"/>
                <w:sz w:val="21"/>
                <w:szCs w:val="21"/>
                <w:lang w:val="en-US" w:eastAsia="zh-CN" w:bidi="ar"/>
              </w:rPr>
            </w:pPr>
            <w:r>
              <w:rPr>
                <w:rFonts w:hint="eastAsia" w:hAnsi="宋体" w:eastAsia="宋体" w:cs="宋体"/>
                <w:b/>
                <w:bCs/>
                <w:color w:val="000000"/>
                <w:kern w:val="2"/>
                <w:sz w:val="24"/>
                <w:szCs w:val="24"/>
                <w:lang w:val="en-US" w:eastAsia="zh-CN" w:bidi="ar"/>
              </w:rPr>
              <w:t>合同货款：</w:t>
            </w:r>
            <w:r>
              <w:rPr>
                <w:rFonts w:hint="eastAsia" w:ascii="宋体" w:hAnsi="宋体" w:eastAsia="宋体" w:cs="宋体"/>
                <w:color w:val="000000"/>
                <w:kern w:val="2"/>
                <w:sz w:val="24"/>
                <w:szCs w:val="24"/>
                <w:lang w:val="en-US" w:eastAsia="zh-CN" w:bidi="ar"/>
              </w:rPr>
              <w:t>送</w:t>
            </w:r>
            <w:r>
              <w:rPr>
                <w:rFonts w:hint="eastAsia" w:ascii="宋体" w:hAnsi="宋体" w:eastAsia="宋体" w:cs="宋体"/>
                <w:kern w:val="2"/>
                <w:sz w:val="21"/>
                <w:szCs w:val="21"/>
                <w:lang w:val="en-US" w:eastAsia="zh-CN" w:bidi="ar"/>
              </w:rPr>
              <w:t>货并安装完毕及验收合格后，中标人须向采购人提供全额正规含税发票，采购人通过银行转账方式付清全款。</w:t>
            </w:r>
          </w:p>
          <w:p>
            <w:pPr>
              <w:numPr>
                <w:ilvl w:val="0"/>
                <w:numId w:val="0"/>
              </w:numPr>
              <w:rPr>
                <w:rFonts w:hint="eastAsia" w:ascii="宋体" w:hAnsi="宋体" w:eastAsia="宋体" w:cs="宋体"/>
                <w:kern w:val="2"/>
                <w:sz w:val="21"/>
                <w:szCs w:val="21"/>
                <w:lang w:val="en-US" w:eastAsia="zh-CN" w:bidi="ar"/>
              </w:rPr>
            </w:pPr>
            <w:r>
              <w:rPr>
                <w:rFonts w:hint="eastAsia" w:ascii="宋体" w:hAnsi="宋体" w:eastAsia="宋体" w:cs="宋体"/>
                <w:b/>
                <w:color w:val="000000"/>
                <w:kern w:val="2"/>
                <w:sz w:val="24"/>
                <w:szCs w:val="24"/>
                <w:lang w:val="en-US" w:eastAsia="zh-CN" w:bidi="ar"/>
              </w:rPr>
              <w:t>履约保证金：</w:t>
            </w:r>
            <w:r>
              <w:rPr>
                <w:rFonts w:hint="eastAsia" w:ascii="宋体" w:hAnsi="宋体" w:eastAsia="宋体" w:cs="宋体"/>
                <w:kern w:val="2"/>
                <w:sz w:val="21"/>
                <w:szCs w:val="21"/>
                <w:lang w:val="en-US" w:eastAsia="zh-CN" w:bidi="ar"/>
              </w:rPr>
              <w:t>是否收取履约保证金：是。履约保证金百分比：5%。说明：中标人在签订政府采购合同三日前应向采购人缴纳合同总金额5%的履约保证金，该履约保证金于设备验收合格后自动转为质量保证金；验收合格之日起至免费质保期满，中标人无违约行为且设备无质量问题，中标人向采购人提交退还质量保证金申请报告及收据后，采购人于30日内无息对公转账至合同标明的中标人银行账户。履约保证金缴交方式：银行转账,户名：福建卫生职业技术学院,账号：35001896307050001329.开户行：中国建设银行股份有限公司福州鼓楼支行。</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10"/>
        <w:tblpPr w:leftFromText="180" w:rightFromText="180" w:vertAnchor="text" w:horzAnchor="page" w:tblpX="2503" w:tblpY="310"/>
        <w:tblOverlap w:val="never"/>
        <w:tblW w:w="126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2141"/>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2141"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采购控制价（元）</w:t>
            </w: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eastAsia="宋体"/>
                <w:szCs w:val="24"/>
                <w:lang w:val="en-US" w:eastAsia="zh-CN"/>
              </w:rPr>
              <w:t xml:space="preserve"> </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w:t>
            </w:r>
          </w:p>
        </w:tc>
        <w:tc>
          <w:tcPr>
            <w:tcW w:w="2141"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w:t>
            </w: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3"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w:t>
            </w:r>
          </w:p>
        </w:tc>
        <w:tc>
          <w:tcPr>
            <w:tcW w:w="2227" w:type="dxa"/>
            <w:shd w:val="clear" w:color="auto" w:fill="FFFFFF"/>
            <w:vAlign w:val="center"/>
          </w:tcPr>
          <w:p>
            <w:pPr>
              <w:spacing w:line="240" w:lineRule="exact"/>
              <w:jc w:val="left"/>
              <w:rPr>
                <w:rFonts w:hint="eastAsia" w:ascii="宋体" w:hAnsi="宋体" w:eastAsia="宋体" w:cs="宋体"/>
                <w:kern w:val="0"/>
                <w:sz w:val="21"/>
                <w:szCs w:val="21"/>
                <w:lang w:val="en-US" w:eastAsia="zh-CN" w:bidi="ar"/>
              </w:rPr>
            </w:pPr>
            <w:r>
              <w:rPr>
                <w:rFonts w:hint="eastAsia" w:ascii="Times New Roman" w:hAnsi="Times New Roman" w:eastAsia="宋体"/>
                <w:szCs w:val="24"/>
                <w:lang w:val="en-US" w:eastAsia="zh-CN"/>
              </w:rPr>
              <w:t xml:space="preserve"> </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3</w:t>
            </w:r>
          </w:p>
        </w:tc>
        <w:tc>
          <w:tcPr>
            <w:tcW w:w="2227" w:type="dxa"/>
            <w:shd w:val="clear" w:color="auto" w:fill="FFFFFF"/>
            <w:vAlign w:val="center"/>
          </w:tcPr>
          <w:p>
            <w:pPr>
              <w:spacing w:line="240" w:lineRule="exact"/>
              <w:jc w:val="left"/>
              <w:rPr>
                <w:rFonts w:hint="eastAsia" w:ascii="Times New Roman" w:hAnsi="Times New Roman" w:eastAsia="宋体"/>
                <w:szCs w:val="24"/>
                <w:lang w:val="en-US" w:eastAsia="zh-CN"/>
              </w:rPr>
            </w:pP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3"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4</w:t>
            </w:r>
          </w:p>
        </w:tc>
        <w:tc>
          <w:tcPr>
            <w:tcW w:w="2227" w:type="dxa"/>
            <w:shd w:val="clear" w:color="auto" w:fill="FFFFFF"/>
            <w:vAlign w:val="center"/>
          </w:tcPr>
          <w:p>
            <w:pPr>
              <w:spacing w:line="240" w:lineRule="exact"/>
              <w:jc w:val="left"/>
              <w:rPr>
                <w:rFonts w:hint="eastAsia" w:ascii="Times New Roman" w:hAnsi="Times New Roman" w:eastAsia="宋体"/>
                <w:szCs w:val="24"/>
                <w:lang w:val="en-US" w:eastAsia="zh-CN"/>
              </w:rPr>
            </w:pP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5</w:t>
            </w:r>
          </w:p>
        </w:tc>
        <w:tc>
          <w:tcPr>
            <w:tcW w:w="2227" w:type="dxa"/>
            <w:shd w:val="clear" w:color="auto" w:fill="FFFFFF"/>
            <w:vAlign w:val="center"/>
          </w:tcPr>
          <w:p>
            <w:pPr>
              <w:spacing w:line="240" w:lineRule="exact"/>
              <w:jc w:val="left"/>
              <w:rPr>
                <w:rFonts w:hint="eastAsia" w:ascii="Times New Roman" w:hAnsi="Times New Roman" w:eastAsia="宋体"/>
                <w:szCs w:val="24"/>
                <w:lang w:val="en-US" w:eastAsia="zh-CN"/>
              </w:rPr>
            </w:pP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6</w:t>
            </w:r>
          </w:p>
        </w:tc>
        <w:tc>
          <w:tcPr>
            <w:tcW w:w="2227" w:type="dxa"/>
            <w:shd w:val="clear" w:color="auto" w:fill="FFFFFF"/>
            <w:vAlign w:val="center"/>
          </w:tcPr>
          <w:p>
            <w:pPr>
              <w:spacing w:line="240" w:lineRule="exact"/>
              <w:jc w:val="left"/>
              <w:rPr>
                <w:rFonts w:hint="eastAsia" w:ascii="Times New Roman" w:hAnsi="Times New Roman" w:eastAsia="宋体"/>
                <w:szCs w:val="24"/>
                <w:lang w:val="en-US" w:eastAsia="zh-CN"/>
              </w:rPr>
            </w:pP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3"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7</w:t>
            </w:r>
          </w:p>
        </w:tc>
        <w:tc>
          <w:tcPr>
            <w:tcW w:w="2227" w:type="dxa"/>
            <w:shd w:val="clear" w:color="auto" w:fill="FFFFFF"/>
            <w:vAlign w:val="center"/>
          </w:tcPr>
          <w:p>
            <w:pPr>
              <w:spacing w:line="240" w:lineRule="exact"/>
              <w:jc w:val="left"/>
              <w:rPr>
                <w:rFonts w:hint="eastAsia" w:ascii="Times New Roman" w:hAnsi="Times New Roman" w:eastAsia="宋体"/>
                <w:szCs w:val="24"/>
                <w:lang w:val="en-US" w:eastAsia="zh-CN"/>
              </w:rPr>
            </w:pP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8</w:t>
            </w:r>
          </w:p>
        </w:tc>
        <w:tc>
          <w:tcPr>
            <w:tcW w:w="2227" w:type="dxa"/>
            <w:shd w:val="clear" w:color="auto" w:fill="FFFFFF"/>
            <w:vAlign w:val="center"/>
          </w:tcPr>
          <w:p>
            <w:pPr>
              <w:spacing w:line="240" w:lineRule="exact"/>
              <w:jc w:val="left"/>
              <w:rPr>
                <w:rFonts w:hint="eastAsia" w:ascii="Times New Roman" w:hAnsi="Times New Roman" w:eastAsia="宋体"/>
                <w:szCs w:val="24"/>
                <w:lang w:val="en-US" w:eastAsia="zh-CN"/>
              </w:rPr>
            </w:pP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2141" w:type="dxa"/>
            <w:vAlign w:val="center"/>
          </w:tcPr>
          <w:p>
            <w:pPr>
              <w:spacing w:line="240" w:lineRule="atLeast"/>
              <w:jc w:val="left"/>
              <w:rPr>
                <w:rFonts w:hint="eastAsia" w:ascii="宋体" w:hAnsi="宋体" w:cs="宋体"/>
                <w:bCs/>
                <w:kern w:val="36"/>
                <w:szCs w:val="21"/>
                <w:lang w:val="en-US" w:eastAsia="zh-CN"/>
              </w:rPr>
            </w:pPr>
          </w:p>
        </w:tc>
        <w:tc>
          <w:tcPr>
            <w:tcW w:w="1710"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2685"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2685"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2685"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bookmarkStart w:id="1" w:name="_GoBack"/>
      <w:bookmarkEnd w:id="1"/>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4.</w:t>
      </w:r>
      <w:r>
        <w:rPr>
          <w:rFonts w:hint="eastAsia" w:ascii="宋体" w:hAnsi="宋体" w:eastAsia="宋体" w:cs="宋体"/>
          <w:b/>
          <w:bCs/>
          <w:color w:val="444444"/>
          <w:kern w:val="0"/>
          <w:sz w:val="21"/>
          <w:szCs w:val="21"/>
          <w:lang w:eastAsia="zh-CN"/>
        </w:rPr>
        <w:t>以上费用含施工费、含装卸费、含到施工场地运输费、含增值税普票。</w:t>
      </w: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 w:name="Roboto-Regular">
    <w:altName w:val="宋体"/>
    <w:panose1 w:val="00000000000000000000"/>
    <w:charset w:val="86"/>
    <w:family w:val="auto"/>
    <w:pitch w:val="default"/>
    <w:sig w:usb0="00000000" w:usb1="00000000" w:usb2="00000000" w:usb3="00000000" w:csb0="00040000" w:csb1="00000000"/>
  </w:font>
  <w:font w:name="HYQiHei-EZS">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1446279"/>
    <w:rsid w:val="02043FCF"/>
    <w:rsid w:val="024E258E"/>
    <w:rsid w:val="02CE3CE3"/>
    <w:rsid w:val="02EC034B"/>
    <w:rsid w:val="03837B83"/>
    <w:rsid w:val="03BE128D"/>
    <w:rsid w:val="04686E69"/>
    <w:rsid w:val="048A3EFA"/>
    <w:rsid w:val="072732BC"/>
    <w:rsid w:val="075C3809"/>
    <w:rsid w:val="077B1C63"/>
    <w:rsid w:val="08FE0A90"/>
    <w:rsid w:val="0BAE6E41"/>
    <w:rsid w:val="0BEC35F6"/>
    <w:rsid w:val="0BF875A1"/>
    <w:rsid w:val="0C3A749E"/>
    <w:rsid w:val="0C4C7F8B"/>
    <w:rsid w:val="0CF03E34"/>
    <w:rsid w:val="0D5E549B"/>
    <w:rsid w:val="0DCA1566"/>
    <w:rsid w:val="0E416513"/>
    <w:rsid w:val="0E537B47"/>
    <w:rsid w:val="0FF06B03"/>
    <w:rsid w:val="112C7FDD"/>
    <w:rsid w:val="11A46471"/>
    <w:rsid w:val="13E41DD4"/>
    <w:rsid w:val="13EA309E"/>
    <w:rsid w:val="14AF0F61"/>
    <w:rsid w:val="15583548"/>
    <w:rsid w:val="15F60B85"/>
    <w:rsid w:val="166A47DF"/>
    <w:rsid w:val="16AD613F"/>
    <w:rsid w:val="180145C5"/>
    <w:rsid w:val="18491034"/>
    <w:rsid w:val="189A257A"/>
    <w:rsid w:val="19452A3C"/>
    <w:rsid w:val="195A4546"/>
    <w:rsid w:val="197628A4"/>
    <w:rsid w:val="19F33F76"/>
    <w:rsid w:val="1A347C37"/>
    <w:rsid w:val="1B7056EB"/>
    <w:rsid w:val="1B7B7807"/>
    <w:rsid w:val="1BAB54AC"/>
    <w:rsid w:val="1BF666A7"/>
    <w:rsid w:val="1CCE40B8"/>
    <w:rsid w:val="1D293B6D"/>
    <w:rsid w:val="1D3C473A"/>
    <w:rsid w:val="1E161604"/>
    <w:rsid w:val="1E1957DB"/>
    <w:rsid w:val="1EC9096B"/>
    <w:rsid w:val="1ED8629B"/>
    <w:rsid w:val="212360FB"/>
    <w:rsid w:val="21B94AA3"/>
    <w:rsid w:val="21F541B0"/>
    <w:rsid w:val="22245844"/>
    <w:rsid w:val="244C6003"/>
    <w:rsid w:val="2554468F"/>
    <w:rsid w:val="256C64BF"/>
    <w:rsid w:val="26AC258B"/>
    <w:rsid w:val="26D14F47"/>
    <w:rsid w:val="277213F8"/>
    <w:rsid w:val="28796EC5"/>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3806566"/>
    <w:rsid w:val="33B34D30"/>
    <w:rsid w:val="343A30A6"/>
    <w:rsid w:val="34BB1BD4"/>
    <w:rsid w:val="34FB094B"/>
    <w:rsid w:val="366E11ED"/>
    <w:rsid w:val="36CC298D"/>
    <w:rsid w:val="37A334E6"/>
    <w:rsid w:val="38274C0F"/>
    <w:rsid w:val="38393E34"/>
    <w:rsid w:val="384A3254"/>
    <w:rsid w:val="38702123"/>
    <w:rsid w:val="395C1069"/>
    <w:rsid w:val="3B822710"/>
    <w:rsid w:val="3C345715"/>
    <w:rsid w:val="3C6C257C"/>
    <w:rsid w:val="3C8C5FE4"/>
    <w:rsid w:val="3DD36A73"/>
    <w:rsid w:val="3E134C87"/>
    <w:rsid w:val="3E496B34"/>
    <w:rsid w:val="3E6F1FA6"/>
    <w:rsid w:val="3EAE2061"/>
    <w:rsid w:val="3F0D1FA4"/>
    <w:rsid w:val="3F252173"/>
    <w:rsid w:val="421A7168"/>
    <w:rsid w:val="44173AE6"/>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2C5605"/>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342013"/>
    <w:rsid w:val="67C57B88"/>
    <w:rsid w:val="68092A31"/>
    <w:rsid w:val="685A7572"/>
    <w:rsid w:val="6983772C"/>
    <w:rsid w:val="69E927C6"/>
    <w:rsid w:val="6A417029"/>
    <w:rsid w:val="6B160DE7"/>
    <w:rsid w:val="6B6A5B05"/>
    <w:rsid w:val="6CB42952"/>
    <w:rsid w:val="6CB44F64"/>
    <w:rsid w:val="6D191EB7"/>
    <w:rsid w:val="6DDB5DEA"/>
    <w:rsid w:val="6F557EBD"/>
    <w:rsid w:val="6FC02034"/>
    <w:rsid w:val="70C11A75"/>
    <w:rsid w:val="70D90FCF"/>
    <w:rsid w:val="711A479E"/>
    <w:rsid w:val="711D3818"/>
    <w:rsid w:val="719B4A18"/>
    <w:rsid w:val="71BB4F85"/>
    <w:rsid w:val="72D37BE8"/>
    <w:rsid w:val="730F411E"/>
    <w:rsid w:val="74E12AF7"/>
    <w:rsid w:val="75514BEB"/>
    <w:rsid w:val="772338A8"/>
    <w:rsid w:val="774A5F0D"/>
    <w:rsid w:val="7822047E"/>
    <w:rsid w:val="78475357"/>
    <w:rsid w:val="78AF2EB8"/>
    <w:rsid w:val="78B54D6F"/>
    <w:rsid w:val="79071F8D"/>
    <w:rsid w:val="7A8B01B7"/>
    <w:rsid w:val="7AE96229"/>
    <w:rsid w:val="7BA53631"/>
    <w:rsid w:val="7BD02257"/>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7"/>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3</TotalTime>
  <ScaleCrop>false</ScaleCrop>
  <LinksUpToDate>false</LinksUpToDate>
  <CharactersWithSpaces>2869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2018-06-14T03:12:00Z</cp:lastPrinted>
  <dcterms:modified xsi:type="dcterms:W3CDTF">2018-06-14T08:38:05Z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